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6BFD" w14:textId="77777777" w:rsidR="00DD178E" w:rsidRPr="00BC5EFF" w:rsidRDefault="00DD178E" w:rsidP="00DD178E">
      <w:pPr>
        <w:pStyle w:val="Heading2"/>
      </w:pPr>
      <w:bookmarkStart w:id="0" w:name="_Toc67495774"/>
      <w:bookmarkStart w:id="1" w:name="_Toc72835649"/>
      <w:r w:rsidRPr="00BC5EFF">
        <w:t xml:space="preserve">Tool </w:t>
      </w:r>
      <w:r>
        <w:t>7</w:t>
      </w:r>
      <w:r w:rsidRPr="00BC5EFF">
        <w:t xml:space="preserve"> </w:t>
      </w:r>
      <w:r>
        <w:t>e</w:t>
      </w:r>
      <w:r w:rsidRPr="00BC5EFF">
        <w:t>xample</w:t>
      </w:r>
      <w:r>
        <w:t>:</w:t>
      </w:r>
      <w:r w:rsidRPr="00BC5EFF">
        <w:t xml:space="preserve"> Materiality </w:t>
      </w:r>
      <w:r>
        <w:t>a</w:t>
      </w:r>
      <w:r w:rsidRPr="00BC5EFF">
        <w:t xml:space="preserve">ssessment </w:t>
      </w:r>
      <w:r>
        <w:t>p</w:t>
      </w:r>
      <w:r w:rsidRPr="00BC5EFF">
        <w:t>aper</w:t>
      </w:r>
      <w:bookmarkEnd w:id="0"/>
      <w:bookmarkEnd w:id="1"/>
      <w:r w:rsidRPr="00BC5EFF">
        <w:t xml:space="preserve"> </w:t>
      </w:r>
    </w:p>
    <w:p w14:paraId="16CD5F8F"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Materiality assessment for</w:t>
      </w:r>
      <w:r w:rsidRPr="00DD178E">
        <w:rPr>
          <w:rFonts w:eastAsiaTheme="majorEastAsia" w:cstheme="majorBidi"/>
          <w:b/>
          <w:color w:val="FF0000"/>
          <w:sz w:val="24"/>
          <w:szCs w:val="24"/>
        </w:rPr>
        <w:t xml:space="preserve"> [Entity name] </w:t>
      </w:r>
      <w:r w:rsidRPr="00DD178E">
        <w:rPr>
          <w:rFonts w:eastAsiaTheme="majorEastAsia" w:cstheme="majorBidi"/>
          <w:b/>
          <w:color w:val="00519A"/>
          <w:sz w:val="24"/>
          <w:szCs w:val="24"/>
        </w:rPr>
        <w:t>20</w:t>
      </w:r>
      <w:r w:rsidRPr="00DD178E">
        <w:rPr>
          <w:rFonts w:eastAsiaTheme="majorEastAsia" w:cstheme="majorBidi"/>
          <w:b/>
          <w:color w:val="FF0000"/>
          <w:sz w:val="24"/>
          <w:szCs w:val="24"/>
        </w:rPr>
        <w:t>2</w:t>
      </w:r>
      <w:r w:rsidRPr="00DD178E" w:rsidDel="00A92FE1">
        <w:rPr>
          <w:rFonts w:eastAsiaTheme="majorEastAsia" w:cstheme="majorBidi"/>
          <w:b/>
          <w:color w:val="FF0000"/>
          <w:sz w:val="24"/>
          <w:szCs w:val="24"/>
        </w:rPr>
        <w:t>X</w:t>
      </w:r>
      <w:r w:rsidRPr="00DD178E">
        <w:rPr>
          <w:rFonts w:eastAsiaTheme="majorEastAsia" w:cstheme="majorBidi"/>
          <w:b/>
          <w:color w:val="FF0000"/>
          <w:sz w:val="24"/>
          <w:szCs w:val="24"/>
        </w:rPr>
        <w:t xml:space="preserve">-2X </w:t>
      </w:r>
      <w:r w:rsidRPr="00DD178E">
        <w:rPr>
          <w:rFonts w:eastAsiaTheme="majorEastAsia" w:cstheme="majorBidi"/>
          <w:b/>
          <w:color w:val="00519A"/>
          <w:sz w:val="24"/>
          <w:szCs w:val="24"/>
        </w:rPr>
        <w:t>financial statements disclosures</w:t>
      </w:r>
    </w:p>
    <w:p w14:paraId="5FD7BCA0"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Purpose</w:t>
      </w:r>
    </w:p>
    <w:p w14:paraId="726C317F" w14:textId="77777777" w:rsidR="00DD178E" w:rsidRPr="00DD178E" w:rsidRDefault="00DD178E" w:rsidP="00DD178E">
      <w:pPr>
        <w:spacing w:after="170" w:line="240" w:lineRule="atLeast"/>
        <w:rPr>
          <w:color w:val="000000" w:themeColor="text1"/>
        </w:rPr>
      </w:pPr>
      <w:r w:rsidRPr="00DD178E">
        <w:rPr>
          <w:color w:val="000000" w:themeColor="text1"/>
        </w:rPr>
        <w:t xml:space="preserve">The purpose of this position paper is to document the materiality policy and thresholds to be used in the preparation of the </w:t>
      </w:r>
      <w:r w:rsidRPr="00DD178E">
        <w:rPr>
          <w:color w:val="FF0000"/>
        </w:rPr>
        <w:t xml:space="preserve">[Entity name] </w:t>
      </w:r>
      <w:r w:rsidRPr="00DD178E">
        <w:rPr>
          <w:color w:val="000000" w:themeColor="text1"/>
        </w:rPr>
        <w:t>20</w:t>
      </w:r>
      <w:r w:rsidRPr="00DD178E">
        <w:rPr>
          <w:color w:val="FF0000"/>
        </w:rPr>
        <w:t>2</w:t>
      </w:r>
      <w:r w:rsidRPr="00DD178E" w:rsidDel="00A92FE1">
        <w:rPr>
          <w:color w:val="FF0000"/>
        </w:rPr>
        <w:t>X</w:t>
      </w:r>
      <w:r w:rsidRPr="00DD178E">
        <w:rPr>
          <w:color w:val="FF0000"/>
        </w:rPr>
        <w:t xml:space="preserve">-2X </w:t>
      </w:r>
      <w:r w:rsidRPr="00DD178E">
        <w:rPr>
          <w:color w:val="000000" w:themeColor="text1"/>
        </w:rPr>
        <w:t>annual financial statements. The materiality thresholds will be used to support management decisions in relation to information disclosure in the 20</w:t>
      </w:r>
      <w:r w:rsidRPr="00DD178E">
        <w:rPr>
          <w:color w:val="FF0000"/>
        </w:rPr>
        <w:t xml:space="preserve">2X-2X </w:t>
      </w:r>
      <w:r w:rsidRPr="00DD178E">
        <w:rPr>
          <w:color w:val="000000" w:themeColor="text1"/>
        </w:rPr>
        <w:t>financial statements and identification of major variances for further investigation. Any audit differences will continue to be worked through with the OAG on a case-by-case basis.</w:t>
      </w:r>
    </w:p>
    <w:p w14:paraId="3BB3BA24" w14:textId="77777777" w:rsidR="00DD178E" w:rsidRPr="00DD178E" w:rsidRDefault="00DD178E" w:rsidP="00DD178E">
      <w:pPr>
        <w:spacing w:after="170" w:line="240" w:lineRule="atLeast"/>
        <w:rPr>
          <w:color w:val="000000" w:themeColor="text1"/>
        </w:rPr>
      </w:pPr>
      <w:r w:rsidRPr="00DD178E">
        <w:rPr>
          <w:color w:val="000000" w:themeColor="text1"/>
        </w:rPr>
        <w:t xml:space="preserve">This document should be reviewed annually and updated where necessary to account for any changes in funding, thresholds, </w:t>
      </w:r>
      <w:proofErr w:type="gramStart"/>
      <w:r w:rsidRPr="00DD178E">
        <w:rPr>
          <w:color w:val="000000" w:themeColor="text1"/>
        </w:rPr>
        <w:t>legislation</w:t>
      </w:r>
      <w:proofErr w:type="gramEnd"/>
      <w:r w:rsidRPr="00DD178E">
        <w:rPr>
          <w:color w:val="000000" w:themeColor="text1"/>
        </w:rPr>
        <w:t xml:space="preserve"> and guiding rules for the entity’s assessment of materiality in its financial statements. </w:t>
      </w:r>
    </w:p>
    <w:p w14:paraId="78F8CB38"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FF0000"/>
          <w:sz w:val="24"/>
          <w:szCs w:val="24"/>
        </w:rPr>
        <w:t xml:space="preserve">[Entity’s name] </w:t>
      </w:r>
      <w:r w:rsidRPr="00DD178E">
        <w:rPr>
          <w:rFonts w:eastAsiaTheme="majorEastAsia" w:cstheme="majorBidi"/>
          <w:b/>
          <w:color w:val="00519A"/>
          <w:sz w:val="24"/>
          <w:szCs w:val="24"/>
        </w:rPr>
        <w:t>position</w:t>
      </w:r>
    </w:p>
    <w:p w14:paraId="7B9922DE" w14:textId="77777777" w:rsidR="00DD178E" w:rsidRPr="00DD178E" w:rsidRDefault="00DD178E" w:rsidP="00DD178E">
      <w:pPr>
        <w:spacing w:after="170" w:line="240" w:lineRule="atLeast"/>
        <w:rPr>
          <w:color w:val="000000" w:themeColor="text1"/>
        </w:rPr>
      </w:pPr>
      <w:r w:rsidRPr="00DD178E">
        <w:rPr>
          <w:color w:val="FF0000"/>
        </w:rPr>
        <w:t xml:space="preserve">[Entity’s name] </w:t>
      </w:r>
      <w:r w:rsidRPr="00DD178E">
        <w:rPr>
          <w:color w:val="000000" w:themeColor="text1"/>
        </w:rPr>
        <w:t>considers the appropriate materiality threshold for the 20</w:t>
      </w:r>
      <w:r w:rsidRPr="00DD178E">
        <w:rPr>
          <w:color w:val="FF0000"/>
        </w:rPr>
        <w:t>2</w:t>
      </w:r>
      <w:r w:rsidRPr="00DD178E" w:rsidDel="00A92FE1">
        <w:rPr>
          <w:color w:val="FF0000"/>
        </w:rPr>
        <w:t>X</w:t>
      </w:r>
      <w:r w:rsidRPr="00DD178E">
        <w:rPr>
          <w:color w:val="FF0000"/>
        </w:rPr>
        <w:t xml:space="preserve">-2X </w:t>
      </w:r>
      <w:r w:rsidRPr="00DD178E">
        <w:rPr>
          <w:color w:val="000000" w:themeColor="text1"/>
        </w:rPr>
        <w:t xml:space="preserve">financial statements </w:t>
      </w:r>
      <w:r w:rsidRPr="00DD178E">
        <w:rPr>
          <w:iCs/>
          <w:color w:val="000000" w:themeColor="text1"/>
        </w:rPr>
        <w:t xml:space="preserve">information disclosure </w:t>
      </w:r>
      <w:r w:rsidRPr="00DD178E">
        <w:rPr>
          <w:color w:val="000000" w:themeColor="text1"/>
        </w:rPr>
        <w:t>to be</w:t>
      </w:r>
      <w:r w:rsidRPr="00DD178E">
        <w:rPr>
          <w:color w:val="FF0000"/>
        </w:rPr>
        <w:t xml:space="preserve"> X</w:t>
      </w:r>
      <w:r w:rsidRPr="00DD178E">
        <w:rPr>
          <w:color w:val="000000" w:themeColor="text1"/>
        </w:rPr>
        <w:t>% of total expenses. This results in a materiality threshold of $</w:t>
      </w:r>
      <w:r w:rsidRPr="00DD178E">
        <w:rPr>
          <w:color w:val="FF0000"/>
        </w:rPr>
        <w:t>X</w:t>
      </w:r>
      <w:r w:rsidRPr="00DD178E">
        <w:rPr>
          <w:color w:val="000000" w:themeColor="text1"/>
        </w:rPr>
        <w:t xml:space="preserve"> million. Refer to Attachment A for 20</w:t>
      </w:r>
      <w:r w:rsidRPr="00DD178E">
        <w:rPr>
          <w:color w:val="FF0000"/>
        </w:rPr>
        <w:t xml:space="preserve">2X-2X </w:t>
      </w:r>
      <w:r w:rsidRPr="00DD178E">
        <w:rPr>
          <w:color w:val="000000" w:themeColor="text1"/>
        </w:rPr>
        <w:t>materiality assessment.</w:t>
      </w:r>
    </w:p>
    <w:p w14:paraId="3CDBA4D8" w14:textId="77777777" w:rsidR="00DD178E" w:rsidRPr="00DD178E" w:rsidRDefault="00DD178E" w:rsidP="00DD178E">
      <w:pPr>
        <w:spacing w:after="170" w:line="240" w:lineRule="atLeast"/>
        <w:rPr>
          <w:color w:val="000000" w:themeColor="text1"/>
        </w:rPr>
      </w:pPr>
      <w:r w:rsidRPr="00DD178E">
        <w:rPr>
          <w:color w:val="000000" w:themeColor="text1"/>
        </w:rPr>
        <w:t xml:space="preserve">In addition to applying materiality thresholds, </w:t>
      </w:r>
      <w:r w:rsidRPr="00DD178E">
        <w:rPr>
          <w:color w:val="FF0000"/>
        </w:rPr>
        <w:t xml:space="preserve">[entity’s name] </w:t>
      </w:r>
      <w:r w:rsidRPr="00DD178E">
        <w:rPr>
          <w:color w:val="000000" w:themeColor="text1"/>
        </w:rPr>
        <w:t>will also apply professional judgement and consider relevance for users of its financial statements when assessing items for disclosure. This may result in information disclosed that may not be numerically material but by nature may assist users to understand the underlying business transactions. Application of professional judgement may result in disclosures for material items not being equal in terms of size and detail.</w:t>
      </w:r>
    </w:p>
    <w:p w14:paraId="514FD898" w14:textId="77777777" w:rsidR="00DD178E" w:rsidRPr="00DD178E" w:rsidRDefault="00DD178E" w:rsidP="00DD178E">
      <w:pPr>
        <w:spacing w:after="170" w:line="240" w:lineRule="atLeast"/>
        <w:rPr>
          <w:color w:val="000000" w:themeColor="text1"/>
        </w:rPr>
      </w:pPr>
      <w:r w:rsidRPr="00DD178E">
        <w:rPr>
          <w:color w:val="000000" w:themeColor="text1"/>
        </w:rPr>
        <w:t>This materiality assessment applies to the 20</w:t>
      </w:r>
      <w:r w:rsidRPr="00DD178E">
        <w:rPr>
          <w:color w:val="FF0000"/>
        </w:rPr>
        <w:t xml:space="preserve">2X-2X </w:t>
      </w:r>
      <w:r w:rsidRPr="00DD178E">
        <w:rPr>
          <w:color w:val="000000" w:themeColor="text1"/>
        </w:rPr>
        <w:t xml:space="preserve">financial statements. </w:t>
      </w:r>
      <w:r w:rsidRPr="00DD178E">
        <w:rPr>
          <w:color w:val="FF0000"/>
        </w:rPr>
        <w:t xml:space="preserve">[Entity’s Name] </w:t>
      </w:r>
      <w:r w:rsidRPr="00DD178E">
        <w:rPr>
          <w:color w:val="000000" w:themeColor="text1"/>
        </w:rPr>
        <w:t>will undertake an annual review of materiality and adjust where necessary.</w:t>
      </w:r>
    </w:p>
    <w:p w14:paraId="7F352F28" w14:textId="77777777" w:rsidR="00DD178E" w:rsidRPr="00DD178E" w:rsidRDefault="00DD178E" w:rsidP="00DD178E">
      <w:pPr>
        <w:spacing w:after="170" w:line="240" w:lineRule="atLeast"/>
        <w:rPr>
          <w:color w:val="000000" w:themeColor="text1"/>
        </w:rPr>
      </w:pPr>
      <w:r w:rsidRPr="00DD178E">
        <w:rPr>
          <w:color w:val="FF0000"/>
        </w:rPr>
        <w:t xml:space="preserve">[Entity’s Name] </w:t>
      </w:r>
      <w:r w:rsidRPr="00DD178E">
        <w:rPr>
          <w:color w:val="000000" w:themeColor="text1"/>
        </w:rPr>
        <w:t xml:space="preserve">will not apply materiality assessment against disclosures which are material by nature such as appropriations and special purpose accounts, and mandatory requirements under the </w:t>
      </w:r>
      <w:r w:rsidRPr="00DD178E">
        <w:rPr>
          <w:iCs/>
          <w:color w:val="000000" w:themeColor="text1"/>
        </w:rPr>
        <w:t>Australian Accounting Standards</w:t>
      </w:r>
      <w:r w:rsidRPr="00DD178E">
        <w:rPr>
          <w:color w:val="000000" w:themeColor="text1"/>
        </w:rPr>
        <w:t xml:space="preserve"> (AAS), the </w:t>
      </w:r>
      <w:r w:rsidRPr="00DD178E">
        <w:rPr>
          <w:i/>
          <w:iCs/>
          <w:color w:val="000000" w:themeColor="text1"/>
        </w:rPr>
        <w:t>Financial Management Act 2006</w:t>
      </w:r>
      <w:r w:rsidRPr="00DD178E">
        <w:rPr>
          <w:color w:val="000000" w:themeColor="text1"/>
        </w:rPr>
        <w:t xml:space="preserve"> (FM Act), Treasurer’s instructions, </w:t>
      </w:r>
      <w:r w:rsidRPr="00DD178E">
        <w:rPr>
          <w:i/>
          <w:iCs/>
          <w:color w:val="000000" w:themeColor="text1"/>
        </w:rPr>
        <w:t>Local Government Act 1995</w:t>
      </w:r>
      <w:r w:rsidRPr="00DD178E">
        <w:rPr>
          <w:color w:val="000000" w:themeColor="text1"/>
        </w:rPr>
        <w:t xml:space="preserve"> (LG Act) and Local Government Regulations (LG Regs) and other authoritative requirements. </w:t>
      </w:r>
    </w:p>
    <w:p w14:paraId="365F1FF9"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Background</w:t>
      </w:r>
    </w:p>
    <w:p w14:paraId="7A5A5278" w14:textId="77777777" w:rsidR="00DD178E" w:rsidRPr="00DD178E" w:rsidRDefault="00DD178E" w:rsidP="00DD178E">
      <w:pPr>
        <w:spacing w:after="170" w:line="240" w:lineRule="atLeast"/>
        <w:rPr>
          <w:color w:val="000000" w:themeColor="text1"/>
        </w:rPr>
      </w:pPr>
      <w:r w:rsidRPr="00DD178E">
        <w:rPr>
          <w:color w:val="000000" w:themeColor="text1"/>
        </w:rPr>
        <w:t>Sections 61 and 62 of the FM Act requires State entities to prepare financial statements in accordance with AAS and TIs. AAS and TIs require that entities’ financial statements are based on proper accounts and records to present fairly the financial transactions for the reporting period. Similarly, section 6.4 of LG Act require the financial statements to be based on proper accounts and records to present fairly the financial position and the results of operations for the reporting period and compliance with the LG Act to the extent they are not inconsistent with AAS. Furthermore, the AAS require that materiality must be assessed by entities in determining disclosure requirements noting that the TIs require the application of materiality.</w:t>
      </w:r>
    </w:p>
    <w:p w14:paraId="761ABC94" w14:textId="77777777" w:rsidR="00DD178E" w:rsidRPr="00DD178E" w:rsidRDefault="00DD178E" w:rsidP="00DD178E">
      <w:pPr>
        <w:spacing w:after="170" w:line="240" w:lineRule="atLeast"/>
        <w:rPr>
          <w:color w:val="000000" w:themeColor="text1"/>
        </w:rPr>
      </w:pPr>
      <w:r w:rsidRPr="00DD178E">
        <w:rPr>
          <w:color w:val="000000" w:themeColor="text1"/>
        </w:rPr>
        <w:t>For 20</w:t>
      </w:r>
      <w:r w:rsidRPr="00DD178E">
        <w:rPr>
          <w:color w:val="FF0000"/>
        </w:rPr>
        <w:t xml:space="preserve">2X-2X </w:t>
      </w:r>
      <w:r w:rsidRPr="00DD178E">
        <w:rPr>
          <w:color w:val="000000" w:themeColor="text1"/>
        </w:rPr>
        <w:t xml:space="preserve">financial statements, </w:t>
      </w:r>
      <w:r w:rsidRPr="00DD178E">
        <w:rPr>
          <w:color w:val="FF0000"/>
        </w:rPr>
        <w:t xml:space="preserve">[entity’s name] </w:t>
      </w:r>
      <w:r w:rsidRPr="00DD178E">
        <w:rPr>
          <w:color w:val="000000" w:themeColor="text1"/>
        </w:rPr>
        <w:t xml:space="preserve">is aiming to improve the usefulness and readability to users by simplifying disclosures and reducing unnecessary clutter. In revising the disclosures, the entity has also considered the materiality of information in addition to compliance with AAS and the TIs. </w:t>
      </w:r>
    </w:p>
    <w:p w14:paraId="7AC164AF"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lastRenderedPageBreak/>
        <w:t>Defining materiality</w:t>
      </w:r>
    </w:p>
    <w:p w14:paraId="68409591" w14:textId="77777777" w:rsidR="00DD178E" w:rsidRPr="00DD178E" w:rsidRDefault="00DD178E" w:rsidP="00DD178E">
      <w:pPr>
        <w:spacing w:after="170" w:line="240" w:lineRule="atLeast"/>
        <w:rPr>
          <w:i/>
          <w:color w:val="000000" w:themeColor="text1"/>
        </w:rPr>
      </w:pPr>
      <w:r w:rsidRPr="00DD178E">
        <w:rPr>
          <w:color w:val="000000" w:themeColor="text1"/>
        </w:rPr>
        <w:t xml:space="preserve">Materiality can be difficult to define as it is based on both quantitative and qualitative factors, with the latter requiring more judgement. Some useful guidance is contained in AASB 101 </w:t>
      </w:r>
      <w:r w:rsidRPr="00DD178E">
        <w:rPr>
          <w:i/>
          <w:color w:val="000000" w:themeColor="text1"/>
        </w:rPr>
        <w:t>Presentation of Financial Statements</w:t>
      </w:r>
      <w:r w:rsidRPr="00DD178E">
        <w:rPr>
          <w:color w:val="000000" w:themeColor="text1"/>
        </w:rPr>
        <w:t xml:space="preserve"> and in AASB Practice Statement 2 </w:t>
      </w:r>
      <w:r w:rsidRPr="00DD178E">
        <w:rPr>
          <w:i/>
          <w:color w:val="000000" w:themeColor="text1"/>
        </w:rPr>
        <w:t>Making Materiality Judgements</w:t>
      </w:r>
      <w:r w:rsidRPr="00DD178E">
        <w:rPr>
          <w:color w:val="000000" w:themeColor="text1"/>
        </w:rPr>
        <w:t>.</w:t>
      </w:r>
    </w:p>
    <w:p w14:paraId="10B6CF98" w14:textId="77777777" w:rsidR="00DD178E" w:rsidRPr="00DD178E" w:rsidRDefault="00DD178E" w:rsidP="00DD178E">
      <w:pPr>
        <w:spacing w:after="170" w:line="240" w:lineRule="atLeast"/>
        <w:rPr>
          <w:i/>
          <w:iCs/>
          <w:color w:val="000000" w:themeColor="text1"/>
        </w:rPr>
      </w:pPr>
      <w:r w:rsidRPr="00DD178E">
        <w:rPr>
          <w:color w:val="000000" w:themeColor="text1"/>
        </w:rPr>
        <w:t xml:space="preserve">As per AASB 101.7, materiality is defined as: </w:t>
      </w:r>
      <w:r w:rsidRPr="00DD178E">
        <w:rPr>
          <w:i/>
          <w:iCs/>
          <w:color w:val="000000" w:themeColor="text1"/>
        </w:rPr>
        <w:t>‘Information is material if omitting, misstating or obscuring it could reasonably be expected to influence decisions that the primary users of general purpose financial statements make on the basis of those financial statements, which provide financial information about a specific reporting entity’.</w:t>
      </w:r>
    </w:p>
    <w:p w14:paraId="5046AD9E" w14:textId="77777777" w:rsidR="00DD178E" w:rsidRPr="00DD178E" w:rsidRDefault="00DD178E" w:rsidP="00DD178E">
      <w:pPr>
        <w:spacing w:after="170" w:line="240" w:lineRule="atLeast"/>
        <w:rPr>
          <w:color w:val="000000" w:themeColor="text1"/>
        </w:rPr>
      </w:pPr>
      <w:r w:rsidRPr="00DD178E">
        <w:rPr>
          <w:color w:val="000000" w:themeColor="text1"/>
        </w:rPr>
        <w:t>The entity</w:t>
      </w:r>
      <w:r w:rsidRPr="00DD178E">
        <w:rPr>
          <w:color w:val="FF0000"/>
        </w:rPr>
        <w:t xml:space="preserve"> </w:t>
      </w:r>
      <w:r w:rsidRPr="00DD178E">
        <w:rPr>
          <w:color w:val="000000" w:themeColor="text1"/>
        </w:rPr>
        <w:t>needs to assess how users of financial statements (with a reasonable knowledge of business and economic activities) could reasonably be expected to be influenced in making economic decisions (AASB 101.7).</w:t>
      </w:r>
    </w:p>
    <w:p w14:paraId="427F7777" w14:textId="77777777" w:rsidR="00DD178E" w:rsidRPr="00DD178E" w:rsidRDefault="00DD178E" w:rsidP="00DD178E">
      <w:pPr>
        <w:spacing w:after="170" w:line="240" w:lineRule="atLeast"/>
        <w:rPr>
          <w:color w:val="000000" w:themeColor="text1"/>
        </w:rPr>
      </w:pPr>
      <w:r w:rsidRPr="00DD178E">
        <w:rPr>
          <w:color w:val="000000" w:themeColor="text1"/>
        </w:rPr>
        <w:t xml:space="preserve">Finally, AASB 108.8 highlights the need to balance AAS requirements with materiality assessments. Whilst it is appropriate to not apply some accounting policies where the effect is immaterial, </w:t>
      </w:r>
      <w:r w:rsidRPr="00DD178E">
        <w:rPr>
          <w:i/>
          <w:color w:val="000000" w:themeColor="text1"/>
        </w:rPr>
        <w:t>‘it is inappropriate to make, or leave uncorrected, immaterial departures from the AAS to achieve a particular presentation of an entity’s financial position, financial performance or cash flows’.</w:t>
      </w:r>
    </w:p>
    <w:p w14:paraId="2F16EDBE"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Setting the materiality threshold for 20</w:t>
      </w:r>
      <w:r w:rsidRPr="00DD178E">
        <w:rPr>
          <w:rFonts w:eastAsiaTheme="majorEastAsia" w:cstheme="majorBidi"/>
          <w:b/>
          <w:color w:val="FF0000"/>
          <w:sz w:val="24"/>
          <w:szCs w:val="24"/>
        </w:rPr>
        <w:t>2</w:t>
      </w:r>
      <w:r w:rsidRPr="00DD178E" w:rsidDel="00A92FE1">
        <w:rPr>
          <w:rFonts w:eastAsiaTheme="majorEastAsia" w:cstheme="majorBidi"/>
          <w:b/>
          <w:color w:val="FF0000"/>
          <w:sz w:val="24"/>
          <w:szCs w:val="24"/>
        </w:rPr>
        <w:t>X</w:t>
      </w:r>
      <w:r w:rsidRPr="00DD178E">
        <w:rPr>
          <w:rFonts w:eastAsiaTheme="majorEastAsia" w:cstheme="majorBidi"/>
          <w:b/>
          <w:color w:val="FF0000"/>
          <w:sz w:val="24"/>
          <w:szCs w:val="24"/>
        </w:rPr>
        <w:t>-2X</w:t>
      </w:r>
    </w:p>
    <w:p w14:paraId="1DAB5FE0" w14:textId="77777777" w:rsidR="00DD178E" w:rsidRPr="00DD178E" w:rsidRDefault="00DD178E" w:rsidP="00DD178E">
      <w:pPr>
        <w:spacing w:after="170" w:line="240" w:lineRule="atLeast"/>
        <w:rPr>
          <w:color w:val="000000" w:themeColor="text1"/>
        </w:rPr>
      </w:pPr>
      <w:r w:rsidRPr="00DD178E">
        <w:rPr>
          <w:color w:val="000000" w:themeColor="text1"/>
        </w:rPr>
        <w:t xml:space="preserve">The OAG sets an audit materiality threshold for each entity in accordance with the auditing standards made by the Australian Auditing and Assurance Board. These materiality levels are expected to be conservative and are not generally shared with audit clients. Whilst </w:t>
      </w:r>
      <w:r w:rsidRPr="00DD178E">
        <w:rPr>
          <w:color w:val="FF0000"/>
        </w:rPr>
        <w:t>[entity’s name]</w:t>
      </w:r>
      <w:r w:rsidRPr="00DD178E">
        <w:rPr>
          <w:color w:val="000000" w:themeColor="text1"/>
        </w:rPr>
        <w:t xml:space="preserve"> does not have access to the OAG adopted materiality threshold, it is prudent to define materiality in </w:t>
      </w:r>
      <w:r w:rsidRPr="00DD178E">
        <w:rPr>
          <w:color w:val="FF0000"/>
        </w:rPr>
        <w:t>[entity’s name]</w:t>
      </w:r>
      <w:r w:rsidRPr="00DD178E">
        <w:rPr>
          <w:color w:val="000000" w:themeColor="text1"/>
        </w:rPr>
        <w:t xml:space="preserve"> financial statements. </w:t>
      </w:r>
    </w:p>
    <w:p w14:paraId="5289E3A6" w14:textId="77777777" w:rsidR="00DD178E" w:rsidRPr="00DD178E" w:rsidRDefault="00DD178E" w:rsidP="00DD178E">
      <w:pPr>
        <w:spacing w:after="170" w:line="240" w:lineRule="atLeast"/>
        <w:rPr>
          <w:color w:val="000000" w:themeColor="text1"/>
        </w:rPr>
      </w:pPr>
      <w:r w:rsidRPr="00DD178E">
        <w:rPr>
          <w:color w:val="000000" w:themeColor="text1"/>
        </w:rPr>
        <w:t xml:space="preserve">The entity-defined materiality threshold for information disclosure which is calculated as </w:t>
      </w:r>
      <w:r w:rsidRPr="00DD178E">
        <w:rPr>
          <w:color w:val="FF0000"/>
        </w:rPr>
        <w:t>X</w:t>
      </w:r>
      <w:r w:rsidRPr="00DD178E">
        <w:rPr>
          <w:color w:val="000000" w:themeColor="text1"/>
        </w:rPr>
        <w:t xml:space="preserve">% of 202X-2X total expenditure is consistent with the AAS (refer Attachment A). This judgement is guided by consideration of the impact the omission, misstatement or non-disclosure has individually or collectively on the discharge of accountability by the accountable authority and discussion with the auditors and the audit committee. </w:t>
      </w:r>
    </w:p>
    <w:p w14:paraId="0EEF37E4"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Specific line item considerations</w:t>
      </w:r>
    </w:p>
    <w:p w14:paraId="0A3FDE7A" w14:textId="77777777" w:rsidR="00DD178E" w:rsidRPr="00DD178E" w:rsidRDefault="00DD178E" w:rsidP="00DD178E">
      <w:pPr>
        <w:spacing w:after="170" w:line="240" w:lineRule="atLeast"/>
        <w:rPr>
          <w:color w:val="000000" w:themeColor="text1"/>
        </w:rPr>
      </w:pPr>
      <w:r w:rsidRPr="00DD178E">
        <w:rPr>
          <w:color w:val="000000" w:themeColor="text1"/>
        </w:rPr>
        <w:t xml:space="preserve">In applying the above levels, </w:t>
      </w:r>
      <w:r w:rsidRPr="00DD178E">
        <w:rPr>
          <w:color w:val="FF0000"/>
        </w:rPr>
        <w:t xml:space="preserve">[entity’s name] </w:t>
      </w:r>
      <w:r w:rsidRPr="00DD178E">
        <w:rPr>
          <w:color w:val="000000" w:themeColor="text1"/>
        </w:rPr>
        <w:t>will remain mindful of any qualitative factors impacting on its materiality assessment - in particular whether the nature of the particular item causes it to be material even though it would be judged immaterial on the basis of the amount involved.</w:t>
      </w:r>
    </w:p>
    <w:p w14:paraId="4F46AE15" w14:textId="77777777" w:rsidR="00DD178E" w:rsidRPr="00DD178E" w:rsidRDefault="00DD178E" w:rsidP="00DD178E">
      <w:pPr>
        <w:spacing w:after="170" w:line="240" w:lineRule="atLeast"/>
        <w:rPr>
          <w:color w:val="000000" w:themeColor="text1"/>
        </w:rPr>
      </w:pPr>
      <w:r w:rsidRPr="00DD178E">
        <w:rPr>
          <w:color w:val="000000" w:themeColor="text1"/>
        </w:rPr>
        <w:t xml:space="preserve">For other required disclosures, tolerance levels for misstatements at an individual line item needs to be assessed by </w:t>
      </w:r>
      <w:r w:rsidRPr="00DD178E">
        <w:rPr>
          <w:color w:val="FF0000"/>
        </w:rPr>
        <w:t xml:space="preserve">[entity’s name] </w:t>
      </w:r>
      <w:r w:rsidRPr="00DD178E">
        <w:rPr>
          <w:color w:val="000000" w:themeColor="text1"/>
        </w:rPr>
        <w:t>on a case-by-case basis with regard to the inherent risk, effectiveness of internal controls, volume and quantum of errors expected and degree of subjectivity underpinning the measurement of the account balance.</w:t>
      </w:r>
    </w:p>
    <w:p w14:paraId="65914B92" w14:textId="77777777" w:rsidR="00DD178E" w:rsidRPr="00DD178E" w:rsidRDefault="00DD178E" w:rsidP="00DD178E">
      <w:pPr>
        <w:spacing w:after="170" w:line="240" w:lineRule="atLeast"/>
        <w:rPr>
          <w:color w:val="000000" w:themeColor="text1"/>
        </w:rPr>
      </w:pPr>
      <w:r w:rsidRPr="00DD178E">
        <w:rPr>
          <w:color w:val="000000" w:themeColor="text1"/>
        </w:rPr>
        <w:t xml:space="preserve">While the materiality threshold is set at </w:t>
      </w:r>
      <w:r w:rsidRPr="00DD178E">
        <w:rPr>
          <w:color w:val="FF0000"/>
        </w:rPr>
        <w:t>X</w:t>
      </w:r>
      <w:r w:rsidRPr="00DD178E">
        <w:rPr>
          <w:color w:val="000000" w:themeColor="text1"/>
        </w:rPr>
        <w:t>% due to the impracticality in setting a single materiality level for individual line items, individual line items may also be considered in the context of other appropriate measurement bases. An appropriate measurement base could be all items in the financial statements, relative items, or classes of items. For example:</w:t>
      </w:r>
    </w:p>
    <w:p w14:paraId="120D081E" w14:textId="77777777" w:rsidR="00DD178E" w:rsidRPr="00DD178E" w:rsidRDefault="00DD178E" w:rsidP="00DD178E">
      <w:pPr>
        <w:numPr>
          <w:ilvl w:val="0"/>
          <w:numId w:val="29"/>
        </w:numPr>
        <w:spacing w:after="170" w:line="240" w:lineRule="atLeast"/>
        <w:ind w:left="567" w:hanging="567"/>
        <w:rPr>
          <w:color w:val="000000" w:themeColor="text1"/>
        </w:rPr>
      </w:pPr>
      <w:r w:rsidRPr="00DD178E">
        <w:rPr>
          <w:color w:val="000000" w:themeColor="text1"/>
        </w:rPr>
        <w:t>balance sheet items could be assessed relative to the appropriate asset or liability base</w:t>
      </w:r>
    </w:p>
    <w:p w14:paraId="18FD25D7" w14:textId="77777777" w:rsidR="00DD178E" w:rsidRPr="00DD178E" w:rsidRDefault="00DD178E" w:rsidP="00DD178E">
      <w:pPr>
        <w:numPr>
          <w:ilvl w:val="0"/>
          <w:numId w:val="29"/>
        </w:numPr>
        <w:spacing w:after="170" w:line="240" w:lineRule="atLeast"/>
        <w:ind w:left="567" w:hanging="567"/>
        <w:rPr>
          <w:color w:val="000000" w:themeColor="text1"/>
        </w:rPr>
      </w:pPr>
      <w:r w:rsidRPr="00DD178E">
        <w:rPr>
          <w:color w:val="000000" w:themeColor="text1"/>
        </w:rPr>
        <w:t xml:space="preserve">cash flow items could be assessed against the net cash flow for operating, </w:t>
      </w:r>
      <w:proofErr w:type="gramStart"/>
      <w:r w:rsidRPr="00DD178E">
        <w:rPr>
          <w:color w:val="000000" w:themeColor="text1"/>
        </w:rPr>
        <w:t>investing</w:t>
      </w:r>
      <w:proofErr w:type="gramEnd"/>
      <w:r w:rsidRPr="00DD178E">
        <w:rPr>
          <w:color w:val="000000" w:themeColor="text1"/>
        </w:rPr>
        <w:t xml:space="preserve"> or financing activities</w:t>
      </w:r>
    </w:p>
    <w:p w14:paraId="42A172C3" w14:textId="77777777" w:rsidR="00DD178E" w:rsidRPr="00DD178E" w:rsidRDefault="00DD178E" w:rsidP="00DD178E">
      <w:pPr>
        <w:numPr>
          <w:ilvl w:val="0"/>
          <w:numId w:val="29"/>
        </w:numPr>
        <w:spacing w:after="170" w:line="240" w:lineRule="atLeast"/>
        <w:ind w:left="567" w:hanging="567"/>
        <w:rPr>
          <w:color w:val="000000" w:themeColor="text1"/>
        </w:rPr>
      </w:pPr>
      <w:r w:rsidRPr="00DD178E">
        <w:rPr>
          <w:color w:val="000000" w:themeColor="text1"/>
        </w:rPr>
        <w:lastRenderedPageBreak/>
        <w:t>statement of comprehensive income items could be assessed against relative net revenue and net expense figures.</w:t>
      </w:r>
    </w:p>
    <w:p w14:paraId="46BC6B85"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Budgetary reporting</w:t>
      </w:r>
    </w:p>
    <w:p w14:paraId="4575AE80" w14:textId="77777777" w:rsidR="00DD178E" w:rsidRPr="00DD178E" w:rsidRDefault="00DD178E" w:rsidP="00DD178E">
      <w:pPr>
        <w:spacing w:after="170" w:line="240" w:lineRule="atLeast"/>
        <w:rPr>
          <w:i/>
          <w:color w:val="000000" w:themeColor="text1"/>
        </w:rPr>
      </w:pPr>
      <w:r w:rsidRPr="00DD178E">
        <w:rPr>
          <w:color w:val="000000" w:themeColor="text1"/>
        </w:rPr>
        <w:t>AASB 1055</w:t>
      </w:r>
      <w:r w:rsidRPr="00DD178E">
        <w:rPr>
          <w:i/>
          <w:color w:val="000000" w:themeColor="text1"/>
        </w:rPr>
        <w:t xml:space="preserve"> Budgetary Reporting</w:t>
      </w:r>
      <w:r w:rsidRPr="00DD178E">
        <w:rPr>
          <w:color w:val="000000" w:themeColor="text1"/>
        </w:rPr>
        <w:t xml:space="preserve"> does not define a major variance or provide any specific guidance on what would constitute a major variance. However, TI 945 </w:t>
      </w:r>
      <w:r w:rsidRPr="00DD178E">
        <w:rPr>
          <w:i/>
          <w:color w:val="000000" w:themeColor="text1"/>
        </w:rPr>
        <w:t xml:space="preserve">Explanatory Statement </w:t>
      </w:r>
      <w:r w:rsidRPr="00DD178E">
        <w:rPr>
          <w:color w:val="000000" w:themeColor="text1"/>
        </w:rPr>
        <w:t>provides guidance to State entities subject to the FM Act. AASB 1055.15 states that explanations of major variances are: ‘</w:t>
      </w:r>
      <w:r w:rsidRPr="00DD178E">
        <w:rPr>
          <w:i/>
          <w:color w:val="000000" w:themeColor="text1"/>
        </w:rPr>
        <w:t xml:space="preserve">…those relevant to an assessment of the discharge of accountability and to an analysis of performance…, not merely focusing on the numerical differences between original budget and actual amounts.  They include high-level explanations of the causes of major variances rather than merely the nature of the </w:t>
      </w:r>
      <w:proofErr w:type="gramStart"/>
      <w:r w:rsidRPr="00DD178E">
        <w:rPr>
          <w:i/>
          <w:color w:val="000000" w:themeColor="text1"/>
        </w:rPr>
        <w:t>variances’</w:t>
      </w:r>
      <w:proofErr w:type="gramEnd"/>
      <w:r w:rsidRPr="00DD178E">
        <w:rPr>
          <w:i/>
          <w:color w:val="000000" w:themeColor="text1"/>
        </w:rPr>
        <w:t xml:space="preserve">.  </w:t>
      </w:r>
    </w:p>
    <w:p w14:paraId="4EB42E87" w14:textId="77777777" w:rsidR="00DD178E" w:rsidRPr="00DD178E" w:rsidRDefault="00DD178E" w:rsidP="00DD178E">
      <w:pPr>
        <w:spacing w:after="170" w:line="240" w:lineRule="atLeast"/>
        <w:rPr>
          <w:color w:val="000000" w:themeColor="text1"/>
        </w:rPr>
      </w:pPr>
      <w:r w:rsidRPr="00DD178E">
        <w:rPr>
          <w:color w:val="FF0000"/>
        </w:rPr>
        <w:t xml:space="preserve">[Entity’s name] </w:t>
      </w:r>
      <w:r w:rsidRPr="00DD178E">
        <w:rPr>
          <w:color w:val="000000" w:themeColor="text1"/>
        </w:rPr>
        <w:t xml:space="preserve">has considered the requirements of AASB 1055 and TI 945 in addition to exercising judgement in adopting the materiality thresholds for budgetary reporting purposes. </w:t>
      </w:r>
    </w:p>
    <w:p w14:paraId="7169DC90" w14:textId="77777777" w:rsidR="00DD178E" w:rsidRPr="00DD178E" w:rsidRDefault="00DD178E" w:rsidP="00DD178E">
      <w:pPr>
        <w:spacing w:after="160" w:line="259" w:lineRule="auto"/>
        <w:rPr>
          <w:rFonts w:eastAsiaTheme="majorEastAsia" w:cstheme="majorBidi"/>
          <w:b/>
          <w:color w:val="00519A"/>
          <w:sz w:val="24"/>
          <w:szCs w:val="24"/>
        </w:rPr>
      </w:pPr>
      <w:r w:rsidRPr="00DD178E">
        <w:br w:type="page"/>
      </w:r>
    </w:p>
    <w:p w14:paraId="053F7342"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lastRenderedPageBreak/>
        <w:t>Attachment A – Materiality assessment for 20</w:t>
      </w:r>
      <w:r w:rsidRPr="00DD178E">
        <w:rPr>
          <w:rFonts w:eastAsiaTheme="majorEastAsia" w:cstheme="majorBidi"/>
          <w:b/>
          <w:color w:val="FF0000"/>
          <w:sz w:val="24"/>
          <w:szCs w:val="24"/>
        </w:rPr>
        <w:t>2X-2X</w:t>
      </w:r>
    </w:p>
    <w:p w14:paraId="6E3550AA" w14:textId="77777777" w:rsidR="00DD178E" w:rsidRPr="00DD178E" w:rsidRDefault="00DD178E" w:rsidP="00DD178E">
      <w:pPr>
        <w:spacing w:after="170" w:line="240" w:lineRule="atLeast"/>
        <w:rPr>
          <w:color w:val="000000" w:themeColor="text1"/>
        </w:rPr>
      </w:pPr>
      <w:r w:rsidRPr="00DD178E">
        <w:rPr>
          <w:color w:val="FF0000"/>
        </w:rPr>
        <w:t xml:space="preserve">[Entity’s name] </w:t>
      </w:r>
      <w:r w:rsidRPr="00DD178E">
        <w:rPr>
          <w:color w:val="000000" w:themeColor="text1"/>
        </w:rPr>
        <w:t xml:space="preserve">has performed calculations for materiality on the following balances derived from actual total expenditure. </w:t>
      </w:r>
    </w:p>
    <w:p w14:paraId="0E64719D" w14:textId="77777777" w:rsidR="00DD178E" w:rsidRPr="00DD178E" w:rsidRDefault="00DD178E" w:rsidP="00DD178E">
      <w:pPr>
        <w:spacing w:after="170" w:line="240" w:lineRule="atLeast"/>
        <w:ind w:left="567" w:hanging="567"/>
        <w:rPr>
          <w:color w:val="000000" w:themeColor="text1"/>
        </w:rPr>
      </w:pPr>
      <w:r w:rsidRPr="00DD178E">
        <w:rPr>
          <w:color w:val="000000" w:themeColor="text1"/>
        </w:rPr>
        <w:t>Expenses – based on expenses included in net cost of services/total expenses.</w:t>
      </w:r>
    </w:p>
    <w:p w14:paraId="3E673E38" w14:textId="77777777" w:rsidR="00DD178E" w:rsidRPr="00DD178E" w:rsidRDefault="00DD178E" w:rsidP="00DD178E">
      <w:pPr>
        <w:spacing w:after="170" w:line="240" w:lineRule="atLeast"/>
        <w:ind w:left="567" w:hanging="567"/>
        <w:rPr>
          <w:color w:val="000000" w:themeColor="text1"/>
        </w:rPr>
      </w:pPr>
      <w:r w:rsidRPr="00DD178E">
        <w:rPr>
          <w:color w:val="000000" w:themeColor="text1"/>
        </w:rPr>
        <w:t>Assets – includes all financial and non-financial assets balances.</w:t>
      </w:r>
    </w:p>
    <w:p w14:paraId="19CACE4D" w14:textId="77777777" w:rsidR="00DD178E" w:rsidRPr="00DD178E" w:rsidRDefault="00DD178E" w:rsidP="00DD178E">
      <w:pPr>
        <w:spacing w:after="170" w:line="240" w:lineRule="atLeast"/>
        <w:ind w:left="567" w:hanging="567"/>
        <w:rPr>
          <w:color w:val="000000" w:themeColor="text1"/>
        </w:rPr>
      </w:pPr>
      <w:r w:rsidRPr="00DD178E">
        <w:rPr>
          <w:color w:val="000000" w:themeColor="text1"/>
        </w:rPr>
        <w:t>Liabilities – includes all payables and provisions.</w:t>
      </w:r>
    </w:p>
    <w:p w14:paraId="14591F4A" w14:textId="77777777" w:rsidR="00DD178E" w:rsidRPr="00DD178E" w:rsidRDefault="00DD178E" w:rsidP="00DD178E">
      <w:pPr>
        <w:spacing w:after="170" w:line="240" w:lineRule="atLeast"/>
        <w:rPr>
          <w:color w:val="000000" w:themeColor="text1"/>
        </w:rPr>
      </w:pPr>
      <w:r w:rsidRPr="00DD178E">
        <w:rPr>
          <w:color w:val="000000" w:themeColor="text1"/>
        </w:rPr>
        <w:t xml:space="preserve">[The following tables are examples only. If these are used as a basis for preparing an </w:t>
      </w:r>
      <w:r w:rsidRPr="00DD178E">
        <w:rPr>
          <w:color w:val="000000" w:themeColor="text1"/>
        </w:rPr>
        <w:br/>
        <w:t>entity- specific position paper they should reflect the relevant base amounts for the entity.]</w:t>
      </w:r>
    </w:p>
    <w:tbl>
      <w:tblPr>
        <w:tblW w:w="8700" w:type="dxa"/>
        <w:tblBorders>
          <w:top w:val="single" w:sz="4" w:space="0" w:color="003C71" w:themeColor="accent1"/>
          <w:left w:val="single" w:sz="4" w:space="0" w:color="003C71" w:themeColor="accent1"/>
          <w:bottom w:val="single" w:sz="4" w:space="0" w:color="003C71" w:themeColor="accent1"/>
          <w:right w:val="single" w:sz="4" w:space="0" w:color="003C71" w:themeColor="accent1"/>
          <w:insideH w:val="single" w:sz="4" w:space="0" w:color="003C71" w:themeColor="accent1"/>
          <w:insideV w:val="single" w:sz="4" w:space="0" w:color="003C71" w:themeColor="accent1"/>
        </w:tblBorders>
        <w:tblLook w:val="04A0" w:firstRow="1" w:lastRow="0" w:firstColumn="1" w:lastColumn="0" w:noHBand="0" w:noVBand="1"/>
        <w:tblCaption w:val="Materiality Assessment Table"/>
        <w:tblDescription w:val="This assessment sets out the four major financial statements categories, providing the figures from the Portfolio Budget Statements and their materiality threshold."/>
      </w:tblPr>
      <w:tblGrid>
        <w:gridCol w:w="3114"/>
        <w:gridCol w:w="2666"/>
        <w:gridCol w:w="2920"/>
      </w:tblGrid>
      <w:tr w:rsidR="00DD178E" w:rsidRPr="00DD178E" w14:paraId="1B0560E3" w14:textId="77777777" w:rsidTr="00100A44">
        <w:trPr>
          <w:trHeight w:val="315"/>
        </w:trPr>
        <w:tc>
          <w:tcPr>
            <w:tcW w:w="3114" w:type="dxa"/>
            <w:shd w:val="clear" w:color="auto" w:fill="003C71" w:themeFill="accent1"/>
            <w:vAlign w:val="center"/>
            <w:hideMark/>
          </w:tcPr>
          <w:p w14:paraId="3A122004" w14:textId="77777777" w:rsidR="00DD178E" w:rsidRPr="00DD178E" w:rsidRDefault="00DD178E" w:rsidP="00DD178E">
            <w:pPr>
              <w:spacing w:before="60" w:after="60"/>
              <w:rPr>
                <w:rFonts w:cs="Arial"/>
                <w:b/>
                <w:color w:val="FFFFFF" w:themeColor="background1"/>
                <w:sz w:val="20"/>
                <w:lang w:eastAsia="en-AU"/>
              </w:rPr>
            </w:pPr>
            <w:r w:rsidRPr="00DD178E">
              <w:rPr>
                <w:b/>
                <w:color w:val="FFFFFF" w:themeColor="background1"/>
                <w:sz w:val="20"/>
                <w:lang w:eastAsia="en-AU"/>
              </w:rPr>
              <w:t>State entity/LG entity</w:t>
            </w:r>
          </w:p>
        </w:tc>
        <w:tc>
          <w:tcPr>
            <w:tcW w:w="2666" w:type="dxa"/>
            <w:shd w:val="clear" w:color="auto" w:fill="003C71" w:themeFill="accent1"/>
            <w:vAlign w:val="center"/>
            <w:hideMark/>
          </w:tcPr>
          <w:p w14:paraId="646313E4" w14:textId="77777777" w:rsidR="00DD178E" w:rsidRPr="00DD178E" w:rsidRDefault="00DD178E" w:rsidP="00DD178E">
            <w:pPr>
              <w:spacing w:before="60" w:after="60"/>
              <w:rPr>
                <w:rFonts w:cs="Arial"/>
                <w:b/>
                <w:color w:val="FFFFFF" w:themeColor="background1"/>
                <w:sz w:val="20"/>
                <w:lang w:eastAsia="en-AU"/>
              </w:rPr>
            </w:pPr>
            <w:r w:rsidRPr="00DD178E">
              <w:rPr>
                <w:rFonts w:cs="Arial"/>
                <w:b/>
                <w:color w:val="FFFFFF" w:themeColor="background1"/>
                <w:sz w:val="20"/>
                <w:lang w:eastAsia="en-AU"/>
              </w:rPr>
              <w:t> </w:t>
            </w:r>
          </w:p>
        </w:tc>
        <w:tc>
          <w:tcPr>
            <w:tcW w:w="2920" w:type="dxa"/>
            <w:shd w:val="clear" w:color="auto" w:fill="003C71" w:themeFill="accent1"/>
            <w:vAlign w:val="center"/>
            <w:hideMark/>
          </w:tcPr>
          <w:p w14:paraId="47FEF4E2" w14:textId="77777777" w:rsidR="00DD178E" w:rsidRPr="00DD178E" w:rsidRDefault="00DD178E" w:rsidP="00DD178E">
            <w:pPr>
              <w:spacing w:before="60" w:after="60"/>
              <w:rPr>
                <w:rFonts w:cs="Arial"/>
                <w:b/>
                <w:color w:val="FFFFFF" w:themeColor="background1"/>
                <w:sz w:val="20"/>
                <w:lang w:eastAsia="en-AU"/>
              </w:rPr>
            </w:pPr>
            <w:r w:rsidRPr="00DD178E">
              <w:rPr>
                <w:rFonts w:cs="Arial"/>
                <w:b/>
                <w:color w:val="FFFFFF" w:themeColor="background1"/>
                <w:sz w:val="20"/>
                <w:lang w:eastAsia="en-AU"/>
              </w:rPr>
              <w:t> </w:t>
            </w:r>
          </w:p>
        </w:tc>
      </w:tr>
      <w:tr w:rsidR="00DD178E" w:rsidRPr="00DD178E" w14:paraId="1BC9DBCF" w14:textId="77777777" w:rsidTr="00100A44">
        <w:trPr>
          <w:trHeight w:val="495"/>
        </w:trPr>
        <w:tc>
          <w:tcPr>
            <w:tcW w:w="3114" w:type="dxa"/>
            <w:shd w:val="clear" w:color="auto" w:fill="7BAFD4" w:themeFill="accent3"/>
            <w:hideMark/>
          </w:tcPr>
          <w:p w14:paraId="3862B5B0" w14:textId="77777777" w:rsidR="00DD178E" w:rsidRPr="00DD178E" w:rsidRDefault="00DD178E" w:rsidP="00DD178E">
            <w:pPr>
              <w:spacing w:before="60" w:after="60"/>
              <w:rPr>
                <w:rFonts w:cs="Arial"/>
                <w:b/>
                <w:color w:val="FFFFFF" w:themeColor="background1"/>
                <w:sz w:val="20"/>
                <w:lang w:eastAsia="en-AU"/>
              </w:rPr>
            </w:pPr>
            <w:r w:rsidRPr="00DD178E">
              <w:rPr>
                <w:b/>
                <w:color w:val="FFFFFF" w:themeColor="background1"/>
                <w:sz w:val="20"/>
                <w:lang w:eastAsia="en-AU"/>
              </w:rPr>
              <w:t>Major category</w:t>
            </w:r>
          </w:p>
        </w:tc>
        <w:tc>
          <w:tcPr>
            <w:tcW w:w="2666" w:type="dxa"/>
            <w:shd w:val="clear" w:color="auto" w:fill="7BAFD4" w:themeFill="accent3"/>
            <w:hideMark/>
          </w:tcPr>
          <w:p w14:paraId="3DE0F6E1" w14:textId="77777777" w:rsidR="00DD178E" w:rsidRPr="00DD178E" w:rsidRDefault="00DD178E" w:rsidP="00DD178E">
            <w:pPr>
              <w:spacing w:before="60" w:after="60"/>
              <w:jc w:val="center"/>
              <w:rPr>
                <w:rFonts w:cs="Arial"/>
                <w:b/>
                <w:color w:val="FFFFFF" w:themeColor="background1"/>
                <w:sz w:val="20"/>
                <w:lang w:eastAsia="en-AU"/>
              </w:rPr>
            </w:pPr>
            <w:r w:rsidRPr="00DD178E">
              <w:rPr>
                <w:b/>
                <w:color w:val="FFFFFF" w:themeColor="background1"/>
                <w:sz w:val="20"/>
              </w:rPr>
              <w:t>20</w:t>
            </w:r>
            <w:r w:rsidRPr="00DD178E">
              <w:rPr>
                <w:b/>
                <w:color w:val="FF0000"/>
                <w:sz w:val="20"/>
              </w:rPr>
              <w:t>2X-2X</w:t>
            </w:r>
            <w:r w:rsidRPr="00DD178E">
              <w:rPr>
                <w:b/>
                <w:color w:val="FF0000"/>
                <w:sz w:val="20"/>
                <w:lang w:eastAsia="en-AU"/>
              </w:rPr>
              <w:t xml:space="preserve"> </w:t>
            </w:r>
            <w:r w:rsidRPr="00DD178E">
              <w:rPr>
                <w:b/>
                <w:color w:val="FFFFFF" w:themeColor="background1"/>
                <w:sz w:val="20"/>
                <w:lang w:eastAsia="en-AU"/>
              </w:rPr>
              <w:t>actual expenditure</w:t>
            </w:r>
            <w:r w:rsidRPr="00DD178E">
              <w:rPr>
                <w:b/>
                <w:color w:val="FFFFFF" w:themeColor="background1"/>
                <w:sz w:val="20"/>
                <w:lang w:eastAsia="en-AU"/>
              </w:rPr>
              <w:br/>
              <w:t>$’000</w:t>
            </w:r>
          </w:p>
        </w:tc>
        <w:tc>
          <w:tcPr>
            <w:tcW w:w="2920" w:type="dxa"/>
            <w:shd w:val="clear" w:color="auto" w:fill="7BAFD4" w:themeFill="accent3"/>
            <w:hideMark/>
          </w:tcPr>
          <w:p w14:paraId="7A6BFCB0" w14:textId="77777777" w:rsidR="00DD178E" w:rsidRPr="00DD178E" w:rsidRDefault="00DD178E" w:rsidP="00DD178E">
            <w:pPr>
              <w:spacing w:before="60" w:after="60"/>
              <w:jc w:val="center"/>
              <w:rPr>
                <w:rFonts w:cs="Arial"/>
                <w:b/>
                <w:color w:val="FFFFFF" w:themeColor="background1"/>
                <w:sz w:val="20"/>
                <w:lang w:eastAsia="en-AU"/>
              </w:rPr>
            </w:pPr>
            <w:r w:rsidRPr="00DD178E">
              <w:rPr>
                <w:b/>
                <w:color w:val="FFFFFF" w:themeColor="background1"/>
                <w:sz w:val="20"/>
                <w:lang w:eastAsia="en-AU"/>
              </w:rPr>
              <w:t>0.5 to 2% materiality threshold</w:t>
            </w:r>
            <w:r w:rsidRPr="00DD178E">
              <w:rPr>
                <w:b/>
                <w:color w:val="FFFFFF" w:themeColor="background1"/>
                <w:sz w:val="20"/>
                <w:lang w:eastAsia="en-AU"/>
              </w:rPr>
              <w:br/>
              <w:t>$’000</w:t>
            </w:r>
          </w:p>
        </w:tc>
      </w:tr>
      <w:tr w:rsidR="00DD178E" w:rsidRPr="00DD178E" w14:paraId="63057DD9" w14:textId="77777777" w:rsidTr="00100A44">
        <w:trPr>
          <w:trHeight w:val="315"/>
        </w:trPr>
        <w:tc>
          <w:tcPr>
            <w:tcW w:w="3114" w:type="dxa"/>
            <w:shd w:val="clear" w:color="auto" w:fill="auto"/>
            <w:hideMark/>
          </w:tcPr>
          <w:p w14:paraId="2A024F05" w14:textId="77777777" w:rsidR="00DD178E" w:rsidRPr="00DD178E" w:rsidRDefault="00DD178E" w:rsidP="00DD178E">
            <w:pPr>
              <w:spacing w:before="60" w:after="60"/>
              <w:rPr>
                <w:rFonts w:cs="Arial"/>
                <w:sz w:val="20"/>
                <w:lang w:eastAsia="en-AU"/>
              </w:rPr>
            </w:pPr>
            <w:r w:rsidRPr="00DD178E">
              <w:rPr>
                <w:sz w:val="20"/>
                <w:lang w:eastAsia="en-AU"/>
              </w:rPr>
              <w:t xml:space="preserve"> Expenses </w:t>
            </w:r>
          </w:p>
        </w:tc>
        <w:tc>
          <w:tcPr>
            <w:tcW w:w="2666" w:type="dxa"/>
            <w:shd w:val="clear" w:color="auto" w:fill="auto"/>
            <w:hideMark/>
          </w:tcPr>
          <w:p w14:paraId="359E3CD9" w14:textId="77777777" w:rsidR="00DD178E" w:rsidRPr="00DD178E" w:rsidRDefault="00DD178E" w:rsidP="00DD178E">
            <w:pPr>
              <w:spacing w:before="60" w:after="60"/>
              <w:jc w:val="right"/>
              <w:rPr>
                <w:sz w:val="20"/>
              </w:rPr>
            </w:pPr>
            <w:r w:rsidRPr="00DD178E">
              <w:rPr>
                <w:sz w:val="20"/>
              </w:rPr>
              <w:t>550,000</w:t>
            </w:r>
          </w:p>
        </w:tc>
        <w:tc>
          <w:tcPr>
            <w:tcW w:w="2920" w:type="dxa"/>
            <w:shd w:val="clear" w:color="auto" w:fill="auto"/>
            <w:hideMark/>
          </w:tcPr>
          <w:p w14:paraId="129115FE" w14:textId="77777777" w:rsidR="00DD178E" w:rsidRPr="00DD178E" w:rsidRDefault="00DD178E" w:rsidP="00DD178E">
            <w:pPr>
              <w:spacing w:before="60" w:after="60"/>
              <w:jc w:val="right"/>
              <w:rPr>
                <w:sz w:val="20"/>
              </w:rPr>
            </w:pPr>
            <w:r w:rsidRPr="00DD178E">
              <w:rPr>
                <w:sz w:val="20"/>
              </w:rPr>
              <w:t>2,750 to 11,000</w:t>
            </w:r>
          </w:p>
        </w:tc>
      </w:tr>
      <w:tr w:rsidR="00DD178E" w:rsidRPr="00DD178E" w14:paraId="47BEA410" w14:textId="77777777" w:rsidTr="00100A44">
        <w:trPr>
          <w:trHeight w:val="315"/>
        </w:trPr>
        <w:tc>
          <w:tcPr>
            <w:tcW w:w="3114" w:type="dxa"/>
            <w:shd w:val="clear" w:color="auto" w:fill="auto"/>
            <w:hideMark/>
          </w:tcPr>
          <w:p w14:paraId="64B9E019" w14:textId="77777777" w:rsidR="00DD178E" w:rsidRPr="00DD178E" w:rsidRDefault="00DD178E" w:rsidP="00DD178E">
            <w:pPr>
              <w:spacing w:before="60" w:after="60"/>
              <w:rPr>
                <w:rFonts w:cs="Arial"/>
                <w:sz w:val="20"/>
                <w:lang w:eastAsia="en-AU"/>
              </w:rPr>
            </w:pPr>
            <w:r w:rsidRPr="00DD178E">
              <w:rPr>
                <w:sz w:val="20"/>
                <w:lang w:eastAsia="en-AU"/>
              </w:rPr>
              <w:t xml:space="preserve"> Assets </w:t>
            </w:r>
          </w:p>
        </w:tc>
        <w:tc>
          <w:tcPr>
            <w:tcW w:w="2666" w:type="dxa"/>
            <w:shd w:val="clear" w:color="auto" w:fill="auto"/>
            <w:hideMark/>
          </w:tcPr>
          <w:p w14:paraId="49D6F8FF" w14:textId="77777777" w:rsidR="00DD178E" w:rsidRPr="00DD178E" w:rsidRDefault="00DD178E" w:rsidP="00DD178E">
            <w:pPr>
              <w:spacing w:before="60" w:after="60"/>
              <w:jc w:val="right"/>
              <w:rPr>
                <w:sz w:val="20"/>
              </w:rPr>
            </w:pPr>
            <w:r w:rsidRPr="00DD178E">
              <w:rPr>
                <w:sz w:val="20"/>
              </w:rPr>
              <w:t>1,000,000</w:t>
            </w:r>
          </w:p>
        </w:tc>
        <w:tc>
          <w:tcPr>
            <w:tcW w:w="2920" w:type="dxa"/>
            <w:shd w:val="clear" w:color="auto" w:fill="auto"/>
            <w:hideMark/>
          </w:tcPr>
          <w:p w14:paraId="571B2747" w14:textId="77777777" w:rsidR="00DD178E" w:rsidRPr="00DD178E" w:rsidRDefault="00DD178E" w:rsidP="00DD178E">
            <w:pPr>
              <w:spacing w:before="60" w:after="60"/>
              <w:jc w:val="right"/>
              <w:rPr>
                <w:sz w:val="20"/>
              </w:rPr>
            </w:pPr>
            <w:r w:rsidRPr="00DD178E">
              <w:rPr>
                <w:sz w:val="20"/>
              </w:rPr>
              <w:t>5,000 to 20,000</w:t>
            </w:r>
          </w:p>
        </w:tc>
      </w:tr>
      <w:tr w:rsidR="00DD178E" w:rsidRPr="00DD178E" w14:paraId="69C1D772" w14:textId="77777777" w:rsidTr="00100A44">
        <w:trPr>
          <w:trHeight w:val="315"/>
        </w:trPr>
        <w:tc>
          <w:tcPr>
            <w:tcW w:w="3114" w:type="dxa"/>
            <w:shd w:val="clear" w:color="auto" w:fill="auto"/>
            <w:hideMark/>
          </w:tcPr>
          <w:p w14:paraId="77A8C869" w14:textId="77777777" w:rsidR="00DD178E" w:rsidRPr="00DD178E" w:rsidRDefault="00DD178E" w:rsidP="00DD178E">
            <w:pPr>
              <w:spacing w:before="60" w:after="60"/>
              <w:rPr>
                <w:rFonts w:cs="Arial"/>
                <w:sz w:val="20"/>
                <w:lang w:eastAsia="en-AU"/>
              </w:rPr>
            </w:pPr>
            <w:r w:rsidRPr="00DD178E">
              <w:rPr>
                <w:sz w:val="20"/>
                <w:lang w:eastAsia="en-AU"/>
              </w:rPr>
              <w:t xml:space="preserve"> Liabilities </w:t>
            </w:r>
          </w:p>
        </w:tc>
        <w:tc>
          <w:tcPr>
            <w:tcW w:w="2666" w:type="dxa"/>
            <w:shd w:val="clear" w:color="auto" w:fill="auto"/>
            <w:hideMark/>
          </w:tcPr>
          <w:p w14:paraId="211D52BE" w14:textId="77777777" w:rsidR="00DD178E" w:rsidRPr="00DD178E" w:rsidRDefault="00DD178E" w:rsidP="00DD178E">
            <w:pPr>
              <w:spacing w:before="60" w:after="60"/>
              <w:jc w:val="right"/>
              <w:rPr>
                <w:sz w:val="20"/>
              </w:rPr>
            </w:pPr>
            <w:r w:rsidRPr="00DD178E">
              <w:rPr>
                <w:sz w:val="20"/>
              </w:rPr>
              <w:t>700,000</w:t>
            </w:r>
          </w:p>
        </w:tc>
        <w:tc>
          <w:tcPr>
            <w:tcW w:w="2920" w:type="dxa"/>
            <w:shd w:val="clear" w:color="auto" w:fill="auto"/>
            <w:hideMark/>
          </w:tcPr>
          <w:p w14:paraId="7CFBFA64" w14:textId="77777777" w:rsidR="00DD178E" w:rsidRPr="00DD178E" w:rsidRDefault="00DD178E" w:rsidP="00DD178E">
            <w:pPr>
              <w:spacing w:before="60" w:after="60"/>
              <w:jc w:val="right"/>
              <w:rPr>
                <w:sz w:val="20"/>
              </w:rPr>
            </w:pPr>
            <w:r w:rsidRPr="00DD178E">
              <w:rPr>
                <w:sz w:val="20"/>
              </w:rPr>
              <w:t>3,500 to 14,000</w:t>
            </w:r>
          </w:p>
        </w:tc>
      </w:tr>
    </w:tbl>
    <w:p w14:paraId="4C7319D6" w14:textId="77777777" w:rsidR="00DD178E" w:rsidRPr="00DD178E" w:rsidRDefault="00DD178E" w:rsidP="00DD178E">
      <w:pPr>
        <w:keepNext/>
        <w:spacing w:before="240" w:after="120"/>
        <w:outlineLvl w:val="2"/>
        <w:rPr>
          <w:rFonts w:eastAsiaTheme="majorEastAsia" w:cstheme="majorBidi"/>
          <w:b/>
          <w:color w:val="00519A"/>
          <w:sz w:val="24"/>
          <w:szCs w:val="24"/>
        </w:rPr>
      </w:pPr>
      <w:r w:rsidRPr="00DD178E">
        <w:rPr>
          <w:rFonts w:eastAsiaTheme="majorEastAsia" w:cstheme="majorBidi"/>
          <w:b/>
          <w:color w:val="00519A"/>
          <w:sz w:val="24"/>
          <w:szCs w:val="24"/>
        </w:rPr>
        <w:t xml:space="preserve">Recalculation using prior-year financial statements actuals </w:t>
      </w:r>
    </w:p>
    <w:p w14:paraId="76B31662" w14:textId="77777777" w:rsidR="00DD178E" w:rsidRPr="00DD178E" w:rsidRDefault="00DD178E" w:rsidP="00DD178E">
      <w:pPr>
        <w:spacing w:after="170" w:line="240" w:lineRule="atLeast"/>
        <w:rPr>
          <w:color w:val="000000" w:themeColor="text1"/>
        </w:rPr>
      </w:pPr>
      <w:r w:rsidRPr="00DD178E">
        <w:rPr>
          <w:color w:val="000000" w:themeColor="text1"/>
        </w:rPr>
        <w:t>These materiality levels are reasonably consistent when compared with a calculation based on the prior financial statements for 20</w:t>
      </w:r>
      <w:r w:rsidRPr="00DD178E">
        <w:rPr>
          <w:color w:val="FF0000"/>
        </w:rPr>
        <w:t xml:space="preserve">2X-2X </w:t>
      </w:r>
      <w:r w:rsidRPr="00DD178E">
        <w:rPr>
          <w:color w:val="000000" w:themeColor="text1"/>
        </w:rPr>
        <w:t xml:space="preserve">using </w:t>
      </w:r>
      <w:r w:rsidRPr="00DD178E">
        <w:rPr>
          <w:color w:val="FF0000"/>
        </w:rPr>
        <w:t>X</w:t>
      </w:r>
      <w:r w:rsidRPr="00DD178E">
        <w:rPr>
          <w:color w:val="000000" w:themeColor="text1"/>
        </w:rPr>
        <w:t>% of actual total expenditure which yielded similar results.</w:t>
      </w:r>
    </w:p>
    <w:tbl>
      <w:tblPr>
        <w:tblW w:w="8700" w:type="dxa"/>
        <w:tblBorders>
          <w:top w:val="single" w:sz="4" w:space="0" w:color="003C71" w:themeColor="accent1"/>
          <w:left w:val="single" w:sz="4" w:space="0" w:color="003C71" w:themeColor="accent1"/>
          <w:bottom w:val="single" w:sz="4" w:space="0" w:color="003C71" w:themeColor="accent1"/>
          <w:right w:val="single" w:sz="4" w:space="0" w:color="003C71" w:themeColor="accent1"/>
          <w:insideH w:val="single" w:sz="4" w:space="0" w:color="003C71" w:themeColor="accent1"/>
          <w:insideV w:val="single" w:sz="4" w:space="0" w:color="003C71" w:themeColor="accent1"/>
        </w:tblBorders>
        <w:tblLook w:val="04A0" w:firstRow="1" w:lastRow="0" w:firstColumn="1" w:lastColumn="0" w:noHBand="0" w:noVBand="1"/>
        <w:tblCaption w:val="Prior year recalulation materiality assessment"/>
        <w:tblDescription w:val="This assessment recaluates the materiality for the prior year using four major financial statements categories, providing the figures from the Portfolio Budget Statements and their materiality threshold."/>
      </w:tblPr>
      <w:tblGrid>
        <w:gridCol w:w="3114"/>
        <w:gridCol w:w="2666"/>
        <w:gridCol w:w="2920"/>
      </w:tblGrid>
      <w:tr w:rsidR="00DD178E" w:rsidRPr="00DD178E" w14:paraId="59EEF59C" w14:textId="77777777" w:rsidTr="00100A44">
        <w:trPr>
          <w:trHeight w:val="315"/>
        </w:trPr>
        <w:tc>
          <w:tcPr>
            <w:tcW w:w="3114" w:type="dxa"/>
            <w:shd w:val="clear" w:color="auto" w:fill="003C71" w:themeFill="accent1"/>
            <w:vAlign w:val="center"/>
            <w:hideMark/>
          </w:tcPr>
          <w:p w14:paraId="4F6EA02B" w14:textId="77777777" w:rsidR="00DD178E" w:rsidRPr="00DD178E" w:rsidRDefault="00DD178E" w:rsidP="00DD178E">
            <w:pPr>
              <w:spacing w:before="60" w:after="60"/>
              <w:rPr>
                <w:rFonts w:cs="Arial"/>
                <w:b/>
                <w:color w:val="FFFFFF" w:themeColor="background1"/>
                <w:sz w:val="20"/>
                <w:lang w:eastAsia="en-AU"/>
              </w:rPr>
            </w:pPr>
            <w:r w:rsidRPr="00DD178E">
              <w:rPr>
                <w:b/>
                <w:color w:val="FFFFFF" w:themeColor="background1"/>
                <w:sz w:val="20"/>
                <w:lang w:eastAsia="en-AU"/>
              </w:rPr>
              <w:t>State entity/LG entity</w:t>
            </w:r>
          </w:p>
        </w:tc>
        <w:tc>
          <w:tcPr>
            <w:tcW w:w="2666" w:type="dxa"/>
            <w:shd w:val="clear" w:color="auto" w:fill="003C71" w:themeFill="accent1"/>
            <w:vAlign w:val="center"/>
            <w:hideMark/>
          </w:tcPr>
          <w:p w14:paraId="6203611E" w14:textId="77777777" w:rsidR="00DD178E" w:rsidRPr="00DD178E" w:rsidRDefault="00DD178E" w:rsidP="00DD178E">
            <w:pPr>
              <w:spacing w:before="60" w:after="60"/>
              <w:rPr>
                <w:rFonts w:cs="Arial"/>
                <w:b/>
                <w:color w:val="FFFFFF" w:themeColor="background1"/>
                <w:sz w:val="20"/>
                <w:lang w:eastAsia="en-AU"/>
              </w:rPr>
            </w:pPr>
            <w:r w:rsidRPr="00DD178E">
              <w:rPr>
                <w:rFonts w:cs="Arial"/>
                <w:b/>
                <w:color w:val="FFFFFF" w:themeColor="background1"/>
                <w:sz w:val="20"/>
                <w:lang w:eastAsia="en-AU"/>
              </w:rPr>
              <w:t> </w:t>
            </w:r>
          </w:p>
        </w:tc>
        <w:tc>
          <w:tcPr>
            <w:tcW w:w="2920" w:type="dxa"/>
            <w:shd w:val="clear" w:color="auto" w:fill="003C71" w:themeFill="accent1"/>
            <w:vAlign w:val="center"/>
            <w:hideMark/>
          </w:tcPr>
          <w:p w14:paraId="36B1B163" w14:textId="77777777" w:rsidR="00DD178E" w:rsidRPr="00DD178E" w:rsidRDefault="00DD178E" w:rsidP="00DD178E">
            <w:pPr>
              <w:spacing w:before="60" w:after="60"/>
              <w:rPr>
                <w:rFonts w:cs="Arial"/>
                <w:b/>
                <w:color w:val="FFFFFF" w:themeColor="background1"/>
                <w:sz w:val="20"/>
                <w:lang w:eastAsia="en-AU"/>
              </w:rPr>
            </w:pPr>
            <w:r w:rsidRPr="00DD178E">
              <w:rPr>
                <w:rFonts w:cs="Arial"/>
                <w:b/>
                <w:color w:val="FFFFFF" w:themeColor="background1"/>
                <w:sz w:val="20"/>
                <w:lang w:eastAsia="en-AU"/>
              </w:rPr>
              <w:t> </w:t>
            </w:r>
          </w:p>
        </w:tc>
      </w:tr>
      <w:tr w:rsidR="00DD178E" w:rsidRPr="00DD178E" w14:paraId="0896D175" w14:textId="77777777" w:rsidTr="00100A44">
        <w:trPr>
          <w:trHeight w:val="495"/>
        </w:trPr>
        <w:tc>
          <w:tcPr>
            <w:tcW w:w="3114" w:type="dxa"/>
            <w:shd w:val="clear" w:color="auto" w:fill="7BAFD4" w:themeFill="accent3"/>
            <w:hideMark/>
          </w:tcPr>
          <w:p w14:paraId="3F5148EC" w14:textId="77777777" w:rsidR="00DD178E" w:rsidRPr="00DD178E" w:rsidRDefault="00DD178E" w:rsidP="00DD178E">
            <w:pPr>
              <w:spacing w:before="60" w:after="60"/>
              <w:rPr>
                <w:rFonts w:cs="Arial"/>
                <w:b/>
                <w:color w:val="FFFFFF" w:themeColor="background1"/>
                <w:sz w:val="20"/>
                <w:lang w:eastAsia="en-AU"/>
              </w:rPr>
            </w:pPr>
            <w:r w:rsidRPr="00DD178E">
              <w:rPr>
                <w:b/>
                <w:color w:val="FFFFFF" w:themeColor="background1"/>
                <w:sz w:val="20"/>
                <w:lang w:eastAsia="en-AU"/>
              </w:rPr>
              <w:t>Major category</w:t>
            </w:r>
          </w:p>
        </w:tc>
        <w:tc>
          <w:tcPr>
            <w:tcW w:w="2666" w:type="dxa"/>
            <w:shd w:val="clear" w:color="auto" w:fill="7BAFD4" w:themeFill="accent3"/>
            <w:hideMark/>
          </w:tcPr>
          <w:p w14:paraId="2C676B1D" w14:textId="77777777" w:rsidR="00DD178E" w:rsidRPr="00DD178E" w:rsidRDefault="00DD178E" w:rsidP="00DD178E">
            <w:pPr>
              <w:spacing w:before="60" w:after="60"/>
              <w:jc w:val="center"/>
              <w:rPr>
                <w:rFonts w:cs="Arial"/>
                <w:b/>
                <w:color w:val="FFFFFF" w:themeColor="background1"/>
                <w:sz w:val="20"/>
                <w:lang w:eastAsia="en-AU"/>
              </w:rPr>
            </w:pPr>
            <w:r w:rsidRPr="00DD178E">
              <w:rPr>
                <w:b/>
                <w:color w:val="FFFFFF" w:themeColor="background1"/>
                <w:sz w:val="20"/>
              </w:rPr>
              <w:t>20</w:t>
            </w:r>
            <w:r w:rsidRPr="00DD178E">
              <w:rPr>
                <w:b/>
                <w:color w:val="FF0000"/>
                <w:sz w:val="20"/>
              </w:rPr>
              <w:t>2X-2X</w:t>
            </w:r>
            <w:r w:rsidRPr="00DD178E">
              <w:rPr>
                <w:b/>
                <w:color w:val="FF0000"/>
                <w:sz w:val="20"/>
                <w:lang w:eastAsia="en-AU"/>
              </w:rPr>
              <w:t xml:space="preserve"> </w:t>
            </w:r>
            <w:r w:rsidRPr="00DD178E">
              <w:rPr>
                <w:b/>
                <w:color w:val="FFFFFF" w:themeColor="background1"/>
                <w:sz w:val="20"/>
                <w:lang w:eastAsia="en-AU"/>
              </w:rPr>
              <w:t>actuals</w:t>
            </w:r>
            <w:r w:rsidRPr="00DD178E">
              <w:rPr>
                <w:b/>
                <w:color w:val="FFFFFF" w:themeColor="background1"/>
                <w:sz w:val="20"/>
                <w:lang w:eastAsia="en-AU"/>
              </w:rPr>
              <w:br/>
              <w:t>$’000</w:t>
            </w:r>
          </w:p>
        </w:tc>
        <w:tc>
          <w:tcPr>
            <w:tcW w:w="2920" w:type="dxa"/>
            <w:shd w:val="clear" w:color="auto" w:fill="7BAFD4" w:themeFill="accent3"/>
            <w:hideMark/>
          </w:tcPr>
          <w:p w14:paraId="16850829" w14:textId="77777777" w:rsidR="00DD178E" w:rsidRPr="00DD178E" w:rsidRDefault="00DD178E" w:rsidP="00DD178E">
            <w:pPr>
              <w:spacing w:before="60" w:after="60"/>
              <w:jc w:val="center"/>
              <w:rPr>
                <w:rFonts w:cs="Arial"/>
                <w:b/>
                <w:color w:val="FFFFFF" w:themeColor="background1"/>
                <w:sz w:val="20"/>
                <w:lang w:eastAsia="en-AU"/>
              </w:rPr>
            </w:pPr>
            <w:r w:rsidRPr="00DD178E">
              <w:rPr>
                <w:b/>
                <w:color w:val="FFFFFF" w:themeColor="background1"/>
                <w:sz w:val="20"/>
                <w:lang w:eastAsia="en-AU"/>
              </w:rPr>
              <w:t>0.5 to 2% materiality threshold</w:t>
            </w:r>
            <w:r w:rsidRPr="00DD178E">
              <w:rPr>
                <w:b/>
                <w:color w:val="FFFFFF" w:themeColor="background1"/>
                <w:sz w:val="20"/>
                <w:lang w:eastAsia="en-AU"/>
              </w:rPr>
              <w:br/>
              <w:t>$’000</w:t>
            </w:r>
          </w:p>
        </w:tc>
      </w:tr>
      <w:tr w:rsidR="00DD178E" w:rsidRPr="00DD178E" w14:paraId="556D6563" w14:textId="77777777" w:rsidTr="00100A44">
        <w:trPr>
          <w:trHeight w:val="315"/>
        </w:trPr>
        <w:tc>
          <w:tcPr>
            <w:tcW w:w="3114" w:type="dxa"/>
            <w:shd w:val="clear" w:color="auto" w:fill="auto"/>
            <w:hideMark/>
          </w:tcPr>
          <w:p w14:paraId="1CEE30B3" w14:textId="77777777" w:rsidR="00DD178E" w:rsidRPr="00DD178E" w:rsidRDefault="00DD178E" w:rsidP="00DD178E">
            <w:pPr>
              <w:spacing w:before="60" w:after="60"/>
              <w:rPr>
                <w:rFonts w:cs="Arial"/>
                <w:sz w:val="20"/>
                <w:lang w:eastAsia="en-AU"/>
              </w:rPr>
            </w:pPr>
            <w:r w:rsidRPr="00DD178E">
              <w:rPr>
                <w:sz w:val="20"/>
                <w:lang w:eastAsia="en-AU"/>
              </w:rPr>
              <w:t xml:space="preserve"> Expenses </w:t>
            </w:r>
          </w:p>
        </w:tc>
        <w:tc>
          <w:tcPr>
            <w:tcW w:w="2666" w:type="dxa"/>
            <w:shd w:val="clear" w:color="auto" w:fill="auto"/>
            <w:hideMark/>
          </w:tcPr>
          <w:p w14:paraId="78CF0988" w14:textId="77777777" w:rsidR="00DD178E" w:rsidRPr="00DD178E" w:rsidRDefault="00DD178E" w:rsidP="00DD178E">
            <w:pPr>
              <w:spacing w:before="60" w:after="60"/>
              <w:jc w:val="right"/>
              <w:rPr>
                <w:rFonts w:cs="Arial"/>
                <w:sz w:val="20"/>
                <w:lang w:eastAsia="en-AU"/>
              </w:rPr>
            </w:pPr>
            <w:r w:rsidRPr="00DD178E">
              <w:rPr>
                <w:rFonts w:cs="Arial"/>
                <w:sz w:val="20"/>
                <w:lang w:eastAsia="en-AU"/>
              </w:rPr>
              <w:t>563,125</w:t>
            </w:r>
          </w:p>
        </w:tc>
        <w:tc>
          <w:tcPr>
            <w:tcW w:w="2920" w:type="dxa"/>
            <w:shd w:val="clear" w:color="auto" w:fill="auto"/>
            <w:hideMark/>
          </w:tcPr>
          <w:p w14:paraId="39ADA3B0" w14:textId="77777777" w:rsidR="00DD178E" w:rsidRPr="00DD178E" w:rsidRDefault="00DD178E" w:rsidP="00DD178E">
            <w:pPr>
              <w:spacing w:before="60" w:after="60"/>
              <w:jc w:val="right"/>
              <w:rPr>
                <w:rFonts w:cs="Arial"/>
                <w:sz w:val="20"/>
                <w:lang w:eastAsia="en-AU"/>
              </w:rPr>
            </w:pPr>
            <w:r w:rsidRPr="00DD178E">
              <w:rPr>
                <w:rFonts w:cs="Arial"/>
                <w:sz w:val="20"/>
                <w:lang w:eastAsia="en-AU"/>
              </w:rPr>
              <w:t>2,816 to 11,263</w:t>
            </w:r>
          </w:p>
        </w:tc>
      </w:tr>
      <w:tr w:rsidR="00DD178E" w:rsidRPr="00DD178E" w14:paraId="1BED9214" w14:textId="77777777" w:rsidTr="00100A44">
        <w:trPr>
          <w:trHeight w:val="315"/>
        </w:trPr>
        <w:tc>
          <w:tcPr>
            <w:tcW w:w="3114" w:type="dxa"/>
            <w:shd w:val="clear" w:color="auto" w:fill="auto"/>
            <w:hideMark/>
          </w:tcPr>
          <w:p w14:paraId="60D7679F" w14:textId="77777777" w:rsidR="00DD178E" w:rsidRPr="00DD178E" w:rsidRDefault="00DD178E" w:rsidP="00DD178E">
            <w:pPr>
              <w:spacing w:before="60" w:after="60"/>
              <w:rPr>
                <w:rFonts w:cs="Arial"/>
                <w:sz w:val="20"/>
                <w:lang w:eastAsia="en-AU"/>
              </w:rPr>
            </w:pPr>
            <w:r w:rsidRPr="00DD178E">
              <w:rPr>
                <w:sz w:val="20"/>
                <w:lang w:eastAsia="en-AU"/>
              </w:rPr>
              <w:t xml:space="preserve"> Assets </w:t>
            </w:r>
          </w:p>
        </w:tc>
        <w:tc>
          <w:tcPr>
            <w:tcW w:w="2666" w:type="dxa"/>
            <w:shd w:val="clear" w:color="auto" w:fill="auto"/>
            <w:hideMark/>
          </w:tcPr>
          <w:p w14:paraId="42AF24BD" w14:textId="77777777" w:rsidR="00DD178E" w:rsidRPr="00DD178E" w:rsidRDefault="00DD178E" w:rsidP="00DD178E">
            <w:pPr>
              <w:spacing w:before="60" w:after="60"/>
              <w:jc w:val="right"/>
              <w:rPr>
                <w:rFonts w:cs="Arial"/>
                <w:sz w:val="20"/>
                <w:lang w:eastAsia="en-AU"/>
              </w:rPr>
            </w:pPr>
            <w:r w:rsidRPr="00DD178E">
              <w:rPr>
                <w:rFonts w:cs="Arial"/>
                <w:sz w:val="20"/>
                <w:lang w:eastAsia="en-AU"/>
              </w:rPr>
              <w:t>956,000</w:t>
            </w:r>
          </w:p>
        </w:tc>
        <w:tc>
          <w:tcPr>
            <w:tcW w:w="2920" w:type="dxa"/>
            <w:shd w:val="clear" w:color="auto" w:fill="auto"/>
            <w:hideMark/>
          </w:tcPr>
          <w:p w14:paraId="542148AA" w14:textId="77777777" w:rsidR="00DD178E" w:rsidRPr="00DD178E" w:rsidRDefault="00DD178E" w:rsidP="00DD178E">
            <w:pPr>
              <w:spacing w:before="60" w:after="60"/>
              <w:jc w:val="right"/>
              <w:rPr>
                <w:rFonts w:cs="Arial"/>
                <w:sz w:val="20"/>
                <w:lang w:eastAsia="en-AU"/>
              </w:rPr>
            </w:pPr>
            <w:r w:rsidRPr="00DD178E">
              <w:rPr>
                <w:rFonts w:cs="Arial"/>
                <w:sz w:val="20"/>
                <w:lang w:eastAsia="en-AU"/>
              </w:rPr>
              <w:t>4,780 to 19,120</w:t>
            </w:r>
          </w:p>
        </w:tc>
      </w:tr>
      <w:tr w:rsidR="00DD178E" w:rsidRPr="00DD178E" w14:paraId="560D284E" w14:textId="77777777" w:rsidTr="00100A44">
        <w:trPr>
          <w:trHeight w:val="315"/>
        </w:trPr>
        <w:tc>
          <w:tcPr>
            <w:tcW w:w="3114" w:type="dxa"/>
            <w:shd w:val="clear" w:color="auto" w:fill="auto"/>
            <w:hideMark/>
          </w:tcPr>
          <w:p w14:paraId="0409C776" w14:textId="77777777" w:rsidR="00DD178E" w:rsidRPr="00DD178E" w:rsidRDefault="00DD178E" w:rsidP="00DD178E">
            <w:pPr>
              <w:spacing w:before="60" w:after="60"/>
              <w:rPr>
                <w:rFonts w:cs="Arial"/>
                <w:sz w:val="20"/>
                <w:lang w:eastAsia="en-AU"/>
              </w:rPr>
            </w:pPr>
            <w:r w:rsidRPr="00DD178E">
              <w:rPr>
                <w:sz w:val="20"/>
                <w:lang w:eastAsia="en-AU"/>
              </w:rPr>
              <w:t xml:space="preserve"> Liabilities </w:t>
            </w:r>
          </w:p>
        </w:tc>
        <w:tc>
          <w:tcPr>
            <w:tcW w:w="2666" w:type="dxa"/>
            <w:shd w:val="clear" w:color="auto" w:fill="auto"/>
            <w:hideMark/>
          </w:tcPr>
          <w:p w14:paraId="0635A435" w14:textId="77777777" w:rsidR="00DD178E" w:rsidRPr="00DD178E" w:rsidRDefault="00DD178E" w:rsidP="00DD178E">
            <w:pPr>
              <w:spacing w:before="60" w:after="60"/>
              <w:jc w:val="right"/>
              <w:rPr>
                <w:rFonts w:cs="Arial"/>
                <w:sz w:val="20"/>
                <w:lang w:eastAsia="en-AU"/>
              </w:rPr>
            </w:pPr>
            <w:r w:rsidRPr="00DD178E">
              <w:rPr>
                <w:rFonts w:cs="Arial"/>
                <w:sz w:val="20"/>
                <w:lang w:eastAsia="en-AU"/>
              </w:rPr>
              <w:t>697,740</w:t>
            </w:r>
          </w:p>
        </w:tc>
        <w:tc>
          <w:tcPr>
            <w:tcW w:w="2920" w:type="dxa"/>
            <w:shd w:val="clear" w:color="auto" w:fill="auto"/>
            <w:hideMark/>
          </w:tcPr>
          <w:p w14:paraId="52E92A6B" w14:textId="77777777" w:rsidR="00DD178E" w:rsidRPr="00DD178E" w:rsidRDefault="00DD178E" w:rsidP="00DD178E">
            <w:pPr>
              <w:spacing w:before="60" w:after="60"/>
              <w:jc w:val="right"/>
              <w:rPr>
                <w:rFonts w:cs="Arial"/>
                <w:sz w:val="20"/>
                <w:lang w:eastAsia="en-AU"/>
              </w:rPr>
            </w:pPr>
            <w:r w:rsidRPr="00DD178E">
              <w:rPr>
                <w:rFonts w:cs="Arial"/>
                <w:sz w:val="20"/>
                <w:lang w:eastAsia="en-AU"/>
              </w:rPr>
              <w:t>3,489 to 13,955</w:t>
            </w:r>
          </w:p>
        </w:tc>
      </w:tr>
    </w:tbl>
    <w:p w14:paraId="274EFF0B" w14:textId="77777777" w:rsidR="00DF035A" w:rsidRDefault="00DF035A" w:rsidP="00DF035A">
      <w:pPr>
        <w:pStyle w:val="BodyText"/>
      </w:pPr>
    </w:p>
    <w:p w14:paraId="63CA94F6" w14:textId="77777777" w:rsidR="00DF035A" w:rsidRPr="00DF035A" w:rsidRDefault="00DF035A" w:rsidP="00DF035A">
      <w:pPr>
        <w:pStyle w:val="BodyText"/>
      </w:pPr>
    </w:p>
    <w:sectPr w:rsidR="00DF035A" w:rsidRPr="00DF035A" w:rsidSect="004B146E">
      <w:footerReference w:type="even" r:id="rId9"/>
      <w:footerReference w:type="default" r:id="rId10"/>
      <w:pgSz w:w="11906" w:h="16838" w:code="9"/>
      <w:pgMar w:top="1440" w:right="1440" w:bottom="1440" w:left="1440" w:header="0" w:footer="61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6627" w14:textId="77777777" w:rsidR="004B146E" w:rsidRDefault="004B146E" w:rsidP="00F25040">
      <w:r>
        <w:separator/>
      </w:r>
    </w:p>
  </w:endnote>
  <w:endnote w:type="continuationSeparator" w:id="0">
    <w:p w14:paraId="48ED2A18" w14:textId="77777777" w:rsidR="004B146E" w:rsidRDefault="004B146E" w:rsidP="00F2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55C47" w14:textId="30B750C9" w:rsidR="00DD178E" w:rsidRDefault="00DD178E" w:rsidP="00DD178E">
    <w:pPr>
      <w:pStyle w:val="Footer"/>
      <w:jc w:val="right"/>
    </w:pPr>
    <w:r w:rsidRPr="004B146E">
      <w:t>Western Australian Public Sector Financial Statements – Better Practice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C961" w14:textId="6F049ACE" w:rsidR="004B146E" w:rsidRDefault="004B146E" w:rsidP="004B146E">
    <w:pPr>
      <w:pStyle w:val="Footer"/>
      <w:jc w:val="right"/>
    </w:pPr>
    <w:r w:rsidRPr="004B146E">
      <w:t>Western Australian Public Sector Financial Statements – Better Practice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7780" w14:textId="77777777" w:rsidR="004B146E" w:rsidRDefault="004B146E" w:rsidP="00F25040">
      <w:r>
        <w:separator/>
      </w:r>
    </w:p>
  </w:footnote>
  <w:footnote w:type="continuationSeparator" w:id="0">
    <w:p w14:paraId="36598EA9" w14:textId="77777777" w:rsidR="004B146E" w:rsidRDefault="004B146E" w:rsidP="00F25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3745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0E7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54E3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27D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8A73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42A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48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70D2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00BB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820C7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6EAF"/>
    <w:multiLevelType w:val="hybridMultilevel"/>
    <w:tmpl w:val="1F86D6DE"/>
    <w:lvl w:ilvl="0" w:tplc="9A565F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E2567D"/>
    <w:multiLevelType w:val="hybridMultilevel"/>
    <w:tmpl w:val="8A4ABBA8"/>
    <w:lvl w:ilvl="0" w:tplc="18B2AF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BF71C9"/>
    <w:multiLevelType w:val="hybridMultilevel"/>
    <w:tmpl w:val="AEE8A27A"/>
    <w:lvl w:ilvl="0" w:tplc="BA1A28AA">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481029"/>
    <w:multiLevelType w:val="multilevel"/>
    <w:tmpl w:val="0C09001D"/>
    <w:numStyleLink w:val="Style1"/>
  </w:abstractNum>
  <w:abstractNum w:abstractNumId="14" w15:restartNumberingAfterBreak="0">
    <w:nsid w:val="232873B0"/>
    <w:multiLevelType w:val="hybridMultilevel"/>
    <w:tmpl w:val="F5A696D0"/>
    <w:lvl w:ilvl="0" w:tplc="4DE8375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AE43649"/>
    <w:multiLevelType w:val="multilevel"/>
    <w:tmpl w:val="63F42052"/>
    <w:lvl w:ilvl="0">
      <w:start w:val="1"/>
      <w:numFmt w:val="decimal"/>
      <w:lvlText w:val="%1."/>
      <w:lvlJc w:val="left"/>
      <w:pPr>
        <w:ind w:left="540" w:hanging="5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0D7D20"/>
    <w:multiLevelType w:val="multilevel"/>
    <w:tmpl w:val="874015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540C7B"/>
    <w:multiLevelType w:val="hybridMultilevel"/>
    <w:tmpl w:val="0B3093F2"/>
    <w:lvl w:ilvl="0" w:tplc="F0BAD51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201EB"/>
    <w:multiLevelType w:val="multilevel"/>
    <w:tmpl w:val="79262C7A"/>
    <w:numStyleLink w:val="BulletsList"/>
  </w:abstractNum>
  <w:abstractNum w:abstractNumId="19" w15:restartNumberingAfterBreak="0">
    <w:nsid w:val="518772E0"/>
    <w:multiLevelType w:val="hybridMultilevel"/>
    <w:tmpl w:val="B44AFEB6"/>
    <w:lvl w:ilvl="0" w:tplc="35DCC22E">
      <w:start w:val="1"/>
      <w:numFmt w:val="bullet"/>
      <w:pStyle w:val="Bullet1"/>
      <w:lvlText w:val=""/>
      <w:lvlJc w:val="left"/>
      <w:pPr>
        <w:tabs>
          <w:tab w:val="num" w:pos="284"/>
        </w:tabs>
        <w:ind w:left="851" w:hanging="851"/>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EB6068"/>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06011CD"/>
    <w:multiLevelType w:val="multilevel"/>
    <w:tmpl w:val="AA1A3DCE"/>
    <w:lvl w:ilvl="0">
      <w:start w:val="1"/>
      <w:numFmt w:val="decimal"/>
      <w:lvlText w:val="%1."/>
      <w:lvlJc w:val="left"/>
      <w:pPr>
        <w:ind w:left="540" w:hanging="540"/>
      </w:pPr>
    </w:lvl>
    <w:lvl w:ilvl="1">
      <w:start w:val="1"/>
      <w:numFmt w:val="lowerLetter"/>
      <w:lvlText w:val="%2."/>
      <w:lvlJc w:val="left"/>
      <w:pPr>
        <w:ind w:left="1080" w:hanging="54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0E57BDD"/>
    <w:multiLevelType w:val="hybridMultilevel"/>
    <w:tmpl w:val="ACE2F6AA"/>
    <w:lvl w:ilvl="0" w:tplc="2C702CA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62FD409E"/>
    <w:multiLevelType w:val="multilevel"/>
    <w:tmpl w:val="C17EA92A"/>
    <w:lvl w:ilvl="0">
      <w:start w:val="1"/>
      <w:numFmt w:val="decimal"/>
      <w:lvlText w:val="%1."/>
      <w:lvlJc w:val="left"/>
      <w:pPr>
        <w:ind w:left="540" w:hanging="5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A36F3B"/>
    <w:multiLevelType w:val="hybridMultilevel"/>
    <w:tmpl w:val="1E5AB69C"/>
    <w:lvl w:ilvl="0" w:tplc="FC143CEE">
      <w:start w:val="1"/>
      <w:numFmt w:val="bullet"/>
      <w:pStyle w:val="Bullet2"/>
      <w:lvlText w:val="o"/>
      <w:lvlJc w:val="left"/>
      <w:pPr>
        <w:tabs>
          <w:tab w:val="num" w:pos="567"/>
        </w:tabs>
        <w:ind w:left="567" w:hanging="283"/>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46F1E8C"/>
    <w:multiLevelType w:val="multilevel"/>
    <w:tmpl w:val="543AA490"/>
    <w:lvl w:ilvl="0">
      <w:start w:val="1"/>
      <w:numFmt w:val="decimal"/>
      <w:pStyle w:val="RecommendationsText"/>
      <w:lvlText w:val="%1."/>
      <w:lvlJc w:val="left"/>
      <w:pPr>
        <w:ind w:left="540" w:hanging="540"/>
      </w:pPr>
    </w:lvl>
    <w:lvl w:ilvl="1">
      <w:start w:val="1"/>
      <w:numFmt w:val="lowerLetter"/>
      <w:pStyle w:val="RecommendationsBullet1"/>
      <w:lvlText w:val="%2."/>
      <w:lvlJc w:val="left"/>
      <w:pPr>
        <w:ind w:left="1080" w:hanging="54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6B3757"/>
    <w:multiLevelType w:val="multilevel"/>
    <w:tmpl w:val="0C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08517F"/>
    <w:multiLevelType w:val="multilevel"/>
    <w:tmpl w:val="EE280F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853C7E"/>
    <w:multiLevelType w:val="multilevel"/>
    <w:tmpl w:val="50FC583E"/>
    <w:lvl w:ilvl="0">
      <w:start w:val="1"/>
      <w:numFmt w:val="decimal"/>
      <w:lvlText w:val="%1."/>
      <w:lvlJc w:val="left"/>
      <w:pPr>
        <w:ind w:left="540" w:hanging="5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9"/>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0"/>
  </w:num>
  <w:num w:numId="17">
    <w:abstractNumId w:val="17"/>
  </w:num>
  <w:num w:numId="18">
    <w:abstractNumId w:val="28"/>
  </w:num>
  <w:num w:numId="19">
    <w:abstractNumId w:val="16"/>
  </w:num>
  <w:num w:numId="20">
    <w:abstractNumId w:val="15"/>
  </w:num>
  <w:num w:numId="21">
    <w:abstractNumId w:val="23"/>
  </w:num>
  <w:num w:numId="22">
    <w:abstractNumId w:val="29"/>
  </w:num>
  <w:num w:numId="23">
    <w:abstractNumId w:val="21"/>
  </w:num>
  <w:num w:numId="24">
    <w:abstractNumId w:val="26"/>
  </w:num>
  <w:num w:numId="25">
    <w:abstractNumId w:val="25"/>
  </w:num>
  <w:num w:numId="26">
    <w:abstractNumId w:val="14"/>
  </w:num>
  <w:num w:numId="27">
    <w:abstractNumId w:val="18"/>
  </w:num>
  <w:num w:numId="28">
    <w:abstractNumId w:val="20"/>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46E"/>
    <w:rsid w:val="000032A0"/>
    <w:rsid w:val="0003753E"/>
    <w:rsid w:val="000422F3"/>
    <w:rsid w:val="00045B19"/>
    <w:rsid w:val="000505D6"/>
    <w:rsid w:val="0005357C"/>
    <w:rsid w:val="0006189C"/>
    <w:rsid w:val="00066FEB"/>
    <w:rsid w:val="0007245E"/>
    <w:rsid w:val="00077026"/>
    <w:rsid w:val="000917C5"/>
    <w:rsid w:val="00095478"/>
    <w:rsid w:val="000A0243"/>
    <w:rsid w:val="000A51EE"/>
    <w:rsid w:val="000B6DBC"/>
    <w:rsid w:val="000C22D4"/>
    <w:rsid w:val="000C2399"/>
    <w:rsid w:val="000D7235"/>
    <w:rsid w:val="000F523C"/>
    <w:rsid w:val="00107704"/>
    <w:rsid w:val="00115BB8"/>
    <w:rsid w:val="00130823"/>
    <w:rsid w:val="00136243"/>
    <w:rsid w:val="001404E9"/>
    <w:rsid w:val="001415E8"/>
    <w:rsid w:val="001461C4"/>
    <w:rsid w:val="00150351"/>
    <w:rsid w:val="00150BAC"/>
    <w:rsid w:val="0015112E"/>
    <w:rsid w:val="00153813"/>
    <w:rsid w:val="001647B2"/>
    <w:rsid w:val="001750DB"/>
    <w:rsid w:val="001A269A"/>
    <w:rsid w:val="001B2861"/>
    <w:rsid w:val="001C5E5F"/>
    <w:rsid w:val="001E3754"/>
    <w:rsid w:val="001E5795"/>
    <w:rsid w:val="00201818"/>
    <w:rsid w:val="00203D4C"/>
    <w:rsid w:val="00204B30"/>
    <w:rsid w:val="00215CA7"/>
    <w:rsid w:val="00243E5A"/>
    <w:rsid w:val="0026519D"/>
    <w:rsid w:val="002743F0"/>
    <w:rsid w:val="0028244E"/>
    <w:rsid w:val="002834C7"/>
    <w:rsid w:val="002B5755"/>
    <w:rsid w:val="002C3FCD"/>
    <w:rsid w:val="002C658D"/>
    <w:rsid w:val="002E27F4"/>
    <w:rsid w:val="00301A17"/>
    <w:rsid w:val="0030749A"/>
    <w:rsid w:val="00317AE9"/>
    <w:rsid w:val="003344B1"/>
    <w:rsid w:val="003350FC"/>
    <w:rsid w:val="00361677"/>
    <w:rsid w:val="00361947"/>
    <w:rsid w:val="0039469C"/>
    <w:rsid w:val="003A239B"/>
    <w:rsid w:val="003A4FC2"/>
    <w:rsid w:val="003A6B69"/>
    <w:rsid w:val="003A73A3"/>
    <w:rsid w:val="003B3A90"/>
    <w:rsid w:val="003B7E12"/>
    <w:rsid w:val="003C5E4F"/>
    <w:rsid w:val="003E482E"/>
    <w:rsid w:val="003E5586"/>
    <w:rsid w:val="003F6880"/>
    <w:rsid w:val="00402836"/>
    <w:rsid w:val="00404C67"/>
    <w:rsid w:val="00407FEF"/>
    <w:rsid w:val="00410F36"/>
    <w:rsid w:val="00431402"/>
    <w:rsid w:val="004338D3"/>
    <w:rsid w:val="00474BD2"/>
    <w:rsid w:val="004902CC"/>
    <w:rsid w:val="004960CC"/>
    <w:rsid w:val="004A0AE1"/>
    <w:rsid w:val="004B146E"/>
    <w:rsid w:val="004B5302"/>
    <w:rsid w:val="004C0374"/>
    <w:rsid w:val="004C16FC"/>
    <w:rsid w:val="004C4DAC"/>
    <w:rsid w:val="004D3D3D"/>
    <w:rsid w:val="004E11F7"/>
    <w:rsid w:val="004E437E"/>
    <w:rsid w:val="004F1623"/>
    <w:rsid w:val="004F3A4F"/>
    <w:rsid w:val="004F4D0C"/>
    <w:rsid w:val="00504855"/>
    <w:rsid w:val="00542A8A"/>
    <w:rsid w:val="005505D8"/>
    <w:rsid w:val="00565A0F"/>
    <w:rsid w:val="00580E85"/>
    <w:rsid w:val="00587B54"/>
    <w:rsid w:val="0059595F"/>
    <w:rsid w:val="005A095B"/>
    <w:rsid w:val="005B0483"/>
    <w:rsid w:val="005B12DF"/>
    <w:rsid w:val="005B5A42"/>
    <w:rsid w:val="005E0E54"/>
    <w:rsid w:val="005F3A01"/>
    <w:rsid w:val="005F3D8F"/>
    <w:rsid w:val="005F5026"/>
    <w:rsid w:val="00603574"/>
    <w:rsid w:val="00604030"/>
    <w:rsid w:val="0061106D"/>
    <w:rsid w:val="006138F6"/>
    <w:rsid w:val="00616DDC"/>
    <w:rsid w:val="006311D3"/>
    <w:rsid w:val="00646413"/>
    <w:rsid w:val="00646E93"/>
    <w:rsid w:val="006546D7"/>
    <w:rsid w:val="006626F6"/>
    <w:rsid w:val="00666E7F"/>
    <w:rsid w:val="006750E7"/>
    <w:rsid w:val="00683C0D"/>
    <w:rsid w:val="006B102C"/>
    <w:rsid w:val="006C2A45"/>
    <w:rsid w:val="006D1B56"/>
    <w:rsid w:val="006D3D78"/>
    <w:rsid w:val="006E0C49"/>
    <w:rsid w:val="006E2697"/>
    <w:rsid w:val="006F041C"/>
    <w:rsid w:val="0072502B"/>
    <w:rsid w:val="00731C69"/>
    <w:rsid w:val="00744052"/>
    <w:rsid w:val="00744C4C"/>
    <w:rsid w:val="0074738C"/>
    <w:rsid w:val="00762F0E"/>
    <w:rsid w:val="00766A65"/>
    <w:rsid w:val="00772E41"/>
    <w:rsid w:val="007807C8"/>
    <w:rsid w:val="00787B70"/>
    <w:rsid w:val="00797B62"/>
    <w:rsid w:val="007B2141"/>
    <w:rsid w:val="007C003C"/>
    <w:rsid w:val="007D1EEC"/>
    <w:rsid w:val="007D2C30"/>
    <w:rsid w:val="007E4245"/>
    <w:rsid w:val="007F0D4E"/>
    <w:rsid w:val="007F39DD"/>
    <w:rsid w:val="007F54C4"/>
    <w:rsid w:val="008074ED"/>
    <w:rsid w:val="0082410B"/>
    <w:rsid w:val="008312E6"/>
    <w:rsid w:val="00835EB9"/>
    <w:rsid w:val="0085444B"/>
    <w:rsid w:val="0087617C"/>
    <w:rsid w:val="008910FC"/>
    <w:rsid w:val="0089361D"/>
    <w:rsid w:val="008B3C12"/>
    <w:rsid w:val="008C3FD7"/>
    <w:rsid w:val="008D55D2"/>
    <w:rsid w:val="008E2CFB"/>
    <w:rsid w:val="008E3D5C"/>
    <w:rsid w:val="008E47C4"/>
    <w:rsid w:val="009010D1"/>
    <w:rsid w:val="00902547"/>
    <w:rsid w:val="00912292"/>
    <w:rsid w:val="009252C3"/>
    <w:rsid w:val="00925B8B"/>
    <w:rsid w:val="009315FE"/>
    <w:rsid w:val="00931868"/>
    <w:rsid w:val="00932195"/>
    <w:rsid w:val="00950CF7"/>
    <w:rsid w:val="00965333"/>
    <w:rsid w:val="00966A38"/>
    <w:rsid w:val="00990745"/>
    <w:rsid w:val="00991B65"/>
    <w:rsid w:val="009A5CB7"/>
    <w:rsid w:val="009C65E9"/>
    <w:rsid w:val="009C6D8C"/>
    <w:rsid w:val="009C7CC9"/>
    <w:rsid w:val="009E799D"/>
    <w:rsid w:val="00A12774"/>
    <w:rsid w:val="00A27D62"/>
    <w:rsid w:val="00A53189"/>
    <w:rsid w:val="00A533D4"/>
    <w:rsid w:val="00A556B2"/>
    <w:rsid w:val="00A55FDB"/>
    <w:rsid w:val="00A6219D"/>
    <w:rsid w:val="00A836A2"/>
    <w:rsid w:val="00A9480C"/>
    <w:rsid w:val="00AD06C7"/>
    <w:rsid w:val="00AF5506"/>
    <w:rsid w:val="00B352B1"/>
    <w:rsid w:val="00B36AD5"/>
    <w:rsid w:val="00B54D9F"/>
    <w:rsid w:val="00B6682F"/>
    <w:rsid w:val="00B7231F"/>
    <w:rsid w:val="00B75F45"/>
    <w:rsid w:val="00B924BB"/>
    <w:rsid w:val="00B94D49"/>
    <w:rsid w:val="00BB2AC3"/>
    <w:rsid w:val="00BC4AC7"/>
    <w:rsid w:val="00BE6454"/>
    <w:rsid w:val="00BF1B5B"/>
    <w:rsid w:val="00BF312E"/>
    <w:rsid w:val="00C1003D"/>
    <w:rsid w:val="00C22A72"/>
    <w:rsid w:val="00C412F4"/>
    <w:rsid w:val="00C63524"/>
    <w:rsid w:val="00C720E7"/>
    <w:rsid w:val="00C8248F"/>
    <w:rsid w:val="00C837C5"/>
    <w:rsid w:val="00C86B52"/>
    <w:rsid w:val="00C87F57"/>
    <w:rsid w:val="00C9188B"/>
    <w:rsid w:val="00CE017D"/>
    <w:rsid w:val="00CE1678"/>
    <w:rsid w:val="00D12354"/>
    <w:rsid w:val="00D129E2"/>
    <w:rsid w:val="00D33248"/>
    <w:rsid w:val="00D609B6"/>
    <w:rsid w:val="00DA59C1"/>
    <w:rsid w:val="00DA5F61"/>
    <w:rsid w:val="00DB5992"/>
    <w:rsid w:val="00DC0A56"/>
    <w:rsid w:val="00DD178E"/>
    <w:rsid w:val="00DE60FA"/>
    <w:rsid w:val="00DF035A"/>
    <w:rsid w:val="00DF0521"/>
    <w:rsid w:val="00DF5791"/>
    <w:rsid w:val="00E0247E"/>
    <w:rsid w:val="00E03E19"/>
    <w:rsid w:val="00E14545"/>
    <w:rsid w:val="00E302F1"/>
    <w:rsid w:val="00E31E4F"/>
    <w:rsid w:val="00E41873"/>
    <w:rsid w:val="00E51347"/>
    <w:rsid w:val="00E8356A"/>
    <w:rsid w:val="00EC66F0"/>
    <w:rsid w:val="00EC6934"/>
    <w:rsid w:val="00ED7E5A"/>
    <w:rsid w:val="00EF20E0"/>
    <w:rsid w:val="00F0515A"/>
    <w:rsid w:val="00F215C9"/>
    <w:rsid w:val="00F25040"/>
    <w:rsid w:val="00F3295B"/>
    <w:rsid w:val="00F35B20"/>
    <w:rsid w:val="00F37F25"/>
    <w:rsid w:val="00F507B8"/>
    <w:rsid w:val="00F61E71"/>
    <w:rsid w:val="00F8038E"/>
    <w:rsid w:val="00F80AF9"/>
    <w:rsid w:val="00F85743"/>
    <w:rsid w:val="00FB7B18"/>
    <w:rsid w:val="00FC75BE"/>
    <w:rsid w:val="00FD0461"/>
    <w:rsid w:val="00FF57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FB5B"/>
  <w15:chartTrackingRefBased/>
  <w15:docId w15:val="{5C7AB706-287D-40D2-9258-C21710DA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lsdException w:name="header" w:semiHidden="1" w:unhideWhenUsed="1"/>
    <w:lsdException w:name="index heading" w:semiHidden="1"/>
    <w:lsdException w:name="caption" w:uiPriority="35"/>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4B146E"/>
    <w:pPr>
      <w:spacing w:after="0" w:line="240" w:lineRule="auto"/>
    </w:pPr>
    <w:rPr>
      <w:rFonts w:ascii="Arial" w:hAnsi="Arial"/>
    </w:rPr>
  </w:style>
  <w:style w:type="paragraph" w:styleId="Heading1">
    <w:name w:val="heading 1"/>
    <w:basedOn w:val="Normal"/>
    <w:next w:val="Heading2"/>
    <w:link w:val="Heading1Char"/>
    <w:uiPriority w:val="1"/>
    <w:qFormat/>
    <w:rsid w:val="002E27F4"/>
    <w:pPr>
      <w:keepNext/>
      <w:pageBreakBefore/>
      <w:spacing w:after="227"/>
      <w:outlineLvl w:val="0"/>
    </w:pPr>
    <w:rPr>
      <w:rFonts w:eastAsiaTheme="majorEastAsia" w:cstheme="majorBidi"/>
      <w:b/>
      <w:color w:val="003C71"/>
      <w:sz w:val="36"/>
      <w:szCs w:val="32"/>
    </w:rPr>
  </w:style>
  <w:style w:type="paragraph" w:styleId="Heading2">
    <w:name w:val="heading 2"/>
    <w:basedOn w:val="Normal"/>
    <w:next w:val="BodyText"/>
    <w:link w:val="Heading2Char"/>
    <w:uiPriority w:val="1"/>
    <w:qFormat/>
    <w:rsid w:val="002E27F4"/>
    <w:pPr>
      <w:keepNext/>
      <w:spacing w:before="240" w:after="120"/>
      <w:outlineLvl w:val="1"/>
    </w:pPr>
    <w:rPr>
      <w:rFonts w:eastAsiaTheme="majorEastAsia" w:cstheme="majorBidi"/>
      <w:b/>
      <w:color w:val="00519A"/>
      <w:sz w:val="32"/>
      <w:szCs w:val="26"/>
    </w:rPr>
  </w:style>
  <w:style w:type="paragraph" w:styleId="Heading3">
    <w:name w:val="heading 3"/>
    <w:basedOn w:val="Normal"/>
    <w:next w:val="BodyText"/>
    <w:link w:val="Heading3Char"/>
    <w:uiPriority w:val="1"/>
    <w:qFormat/>
    <w:rsid w:val="002E27F4"/>
    <w:pPr>
      <w:keepNext/>
      <w:spacing w:before="240" w:after="120"/>
      <w:outlineLvl w:val="2"/>
    </w:pPr>
    <w:rPr>
      <w:rFonts w:eastAsiaTheme="majorEastAsia" w:cstheme="majorBidi"/>
      <w:b/>
      <w:color w:val="00519A"/>
      <w:sz w:val="24"/>
      <w:szCs w:val="24"/>
    </w:rPr>
  </w:style>
  <w:style w:type="paragraph" w:styleId="Heading4">
    <w:name w:val="heading 4"/>
    <w:basedOn w:val="Normal"/>
    <w:next w:val="Normal"/>
    <w:link w:val="Heading4Char"/>
    <w:uiPriority w:val="1"/>
    <w:qFormat/>
    <w:rsid w:val="002E27F4"/>
    <w:pPr>
      <w:keepNext/>
      <w:keepLines/>
      <w:spacing w:before="240" w:after="120"/>
      <w:outlineLvl w:val="3"/>
    </w:pPr>
    <w:rPr>
      <w:rFonts w:asciiTheme="majorHAnsi" w:eastAsiaTheme="majorEastAsia" w:hAnsiTheme="majorHAnsi" w:cstheme="majorBidi"/>
      <w:i/>
      <w:iCs/>
      <w:color w:val="00519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146E"/>
    <w:pPr>
      <w:spacing w:after="170" w:line="240" w:lineRule="atLeast"/>
    </w:pPr>
    <w:rPr>
      <w:color w:val="000000" w:themeColor="text1"/>
    </w:rPr>
  </w:style>
  <w:style w:type="character" w:customStyle="1" w:styleId="BodyTextChar">
    <w:name w:val="Body Text Char"/>
    <w:basedOn w:val="DefaultParagraphFont"/>
    <w:link w:val="BodyText"/>
    <w:rsid w:val="002E27F4"/>
    <w:rPr>
      <w:rFonts w:ascii="Arial" w:hAnsi="Arial"/>
      <w:color w:val="000000" w:themeColor="text1"/>
    </w:rPr>
  </w:style>
  <w:style w:type="table" w:styleId="TableGrid">
    <w:name w:val="Table Grid"/>
    <w:basedOn w:val="TableNormal"/>
    <w:uiPriority w:val="39"/>
    <w:rsid w:val="002E2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ype">
    <w:name w:val="Report Type"/>
    <w:basedOn w:val="Normal"/>
    <w:uiPriority w:val="2"/>
    <w:semiHidden/>
    <w:rsid w:val="002E27F4"/>
    <w:pPr>
      <w:jc w:val="right"/>
    </w:pPr>
    <w:rPr>
      <w:color w:val="FFFFFF" w:themeColor="background1"/>
      <w:sz w:val="48"/>
    </w:rPr>
  </w:style>
  <w:style w:type="paragraph" w:customStyle="1" w:styleId="ReportTitle">
    <w:name w:val="Report Title"/>
    <w:basedOn w:val="Normal"/>
    <w:uiPriority w:val="2"/>
    <w:semiHidden/>
    <w:rsid w:val="002E27F4"/>
    <w:pPr>
      <w:ind w:left="3969"/>
      <w:jc w:val="right"/>
    </w:pPr>
    <w:rPr>
      <w:b/>
      <w:color w:val="003C71"/>
      <w:sz w:val="72"/>
    </w:rPr>
  </w:style>
  <w:style w:type="paragraph" w:customStyle="1" w:styleId="CoverPage-Tiny">
    <w:name w:val="Cover Page - Tiny"/>
    <w:basedOn w:val="Normal"/>
    <w:uiPriority w:val="99"/>
    <w:semiHidden/>
    <w:rsid w:val="002E27F4"/>
    <w:rPr>
      <w:sz w:val="2"/>
    </w:rPr>
  </w:style>
  <w:style w:type="paragraph" w:styleId="Header">
    <w:name w:val="header"/>
    <w:basedOn w:val="Normal"/>
    <w:link w:val="HeaderChar"/>
    <w:uiPriority w:val="99"/>
    <w:semiHidden/>
    <w:rsid w:val="002E27F4"/>
    <w:pPr>
      <w:tabs>
        <w:tab w:val="center" w:pos="4513"/>
        <w:tab w:val="right" w:pos="9026"/>
      </w:tabs>
    </w:pPr>
  </w:style>
  <w:style w:type="character" w:customStyle="1" w:styleId="HeaderChar">
    <w:name w:val="Header Char"/>
    <w:basedOn w:val="DefaultParagraphFont"/>
    <w:link w:val="Header"/>
    <w:uiPriority w:val="99"/>
    <w:semiHidden/>
    <w:rsid w:val="002E27F4"/>
    <w:rPr>
      <w:rFonts w:ascii="Arial" w:hAnsi="Arial"/>
    </w:rPr>
  </w:style>
  <w:style w:type="paragraph" w:styleId="Footer">
    <w:name w:val="footer"/>
    <w:basedOn w:val="Normal"/>
    <w:link w:val="FooterChar"/>
    <w:uiPriority w:val="99"/>
    <w:semiHidden/>
    <w:rsid w:val="002E27F4"/>
    <w:pPr>
      <w:tabs>
        <w:tab w:val="center" w:pos="4513"/>
        <w:tab w:val="right" w:pos="9026"/>
      </w:tabs>
    </w:pPr>
    <w:rPr>
      <w:sz w:val="18"/>
    </w:rPr>
  </w:style>
  <w:style w:type="character" w:customStyle="1" w:styleId="FooterChar">
    <w:name w:val="Footer Char"/>
    <w:basedOn w:val="DefaultParagraphFont"/>
    <w:link w:val="Footer"/>
    <w:uiPriority w:val="99"/>
    <w:semiHidden/>
    <w:rsid w:val="002E27F4"/>
    <w:rPr>
      <w:rFonts w:ascii="Arial" w:hAnsi="Arial"/>
      <w:sz w:val="18"/>
    </w:rPr>
  </w:style>
  <w:style w:type="paragraph" w:customStyle="1" w:styleId="ReportNumber">
    <w:name w:val="Report Number"/>
    <w:basedOn w:val="Normal"/>
    <w:uiPriority w:val="2"/>
    <w:semiHidden/>
    <w:rsid w:val="002E27F4"/>
    <w:pPr>
      <w:jc w:val="right"/>
    </w:pPr>
    <w:rPr>
      <w:sz w:val="16"/>
    </w:rPr>
  </w:style>
  <w:style w:type="paragraph" w:customStyle="1" w:styleId="ReportDate">
    <w:name w:val="Report Date"/>
    <w:basedOn w:val="Normal"/>
    <w:uiPriority w:val="2"/>
    <w:semiHidden/>
    <w:rsid w:val="002E27F4"/>
    <w:pPr>
      <w:jc w:val="right"/>
    </w:pPr>
    <w:rPr>
      <w:sz w:val="16"/>
    </w:rPr>
  </w:style>
  <w:style w:type="paragraph" w:styleId="ListParagraph">
    <w:name w:val="List Paragraph"/>
    <w:basedOn w:val="Normal"/>
    <w:uiPriority w:val="34"/>
    <w:semiHidden/>
    <w:qFormat/>
    <w:rsid w:val="002E27F4"/>
    <w:pPr>
      <w:ind w:left="720"/>
      <w:contextualSpacing/>
    </w:pPr>
  </w:style>
  <w:style w:type="paragraph" w:customStyle="1" w:styleId="ReportDetail-FC">
    <w:name w:val="Report Detail - FC"/>
    <w:basedOn w:val="Subtitle"/>
    <w:uiPriority w:val="2"/>
    <w:semiHidden/>
    <w:rsid w:val="002E27F4"/>
    <w:pPr>
      <w:jc w:val="right"/>
    </w:pPr>
    <w:rPr>
      <w:rFonts w:ascii="Arial" w:hAnsi="Arial" w:cs="Arial"/>
      <w:b/>
      <w:color w:val="FFFFFF" w:themeColor="background1"/>
      <w:sz w:val="28"/>
      <w:szCs w:val="32"/>
    </w:rPr>
  </w:style>
  <w:style w:type="paragraph" w:styleId="Subtitle">
    <w:name w:val="Subtitle"/>
    <w:basedOn w:val="Normal"/>
    <w:next w:val="Normal"/>
    <w:link w:val="SubtitleChar"/>
    <w:uiPriority w:val="11"/>
    <w:semiHidden/>
    <w:rsid w:val="002E27F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2E27F4"/>
    <w:rPr>
      <w:rFonts w:eastAsiaTheme="minorEastAsia"/>
      <w:color w:val="5A5A5A" w:themeColor="text1" w:themeTint="A5"/>
      <w:spacing w:val="15"/>
    </w:rPr>
  </w:style>
  <w:style w:type="character" w:customStyle="1" w:styleId="Heading1Char">
    <w:name w:val="Heading 1 Char"/>
    <w:basedOn w:val="DefaultParagraphFont"/>
    <w:link w:val="Heading1"/>
    <w:uiPriority w:val="1"/>
    <w:rsid w:val="002E27F4"/>
    <w:rPr>
      <w:rFonts w:ascii="Arial" w:eastAsiaTheme="majorEastAsia" w:hAnsi="Arial" w:cstheme="majorBidi"/>
      <w:b/>
      <w:color w:val="003C71"/>
      <w:sz w:val="36"/>
      <w:szCs w:val="32"/>
    </w:rPr>
  </w:style>
  <w:style w:type="paragraph" w:customStyle="1" w:styleId="OfficeTitle-IC">
    <w:name w:val="Office Title - IC"/>
    <w:basedOn w:val="Normal"/>
    <w:uiPriority w:val="2"/>
    <w:semiHidden/>
    <w:rsid w:val="002E27F4"/>
    <w:rPr>
      <w:b/>
      <w:color w:val="7BAFD4"/>
      <w:sz w:val="28"/>
    </w:rPr>
  </w:style>
  <w:style w:type="paragraph" w:customStyle="1" w:styleId="OfficeDetail">
    <w:name w:val="Office Detail"/>
    <w:basedOn w:val="Normal"/>
    <w:uiPriority w:val="2"/>
    <w:semiHidden/>
    <w:rsid w:val="002E27F4"/>
    <w:pPr>
      <w:ind w:right="4820"/>
    </w:pPr>
    <w:rPr>
      <w:color w:val="000000" w:themeColor="text1"/>
    </w:rPr>
  </w:style>
  <w:style w:type="character" w:styleId="Hyperlink">
    <w:name w:val="Hyperlink"/>
    <w:basedOn w:val="DefaultParagraphFont"/>
    <w:uiPriority w:val="99"/>
    <w:unhideWhenUsed/>
    <w:rsid w:val="002E27F4"/>
    <w:rPr>
      <w:color w:val="0563C1" w:themeColor="hyperlink"/>
      <w:u w:val="single"/>
    </w:rPr>
  </w:style>
  <w:style w:type="paragraph" w:customStyle="1" w:styleId="OfficeSmallText-IC">
    <w:name w:val="Office Small Text - IC"/>
    <w:basedOn w:val="OfficeDetail"/>
    <w:uiPriority w:val="2"/>
    <w:semiHidden/>
    <w:rsid w:val="002E27F4"/>
    <w:rPr>
      <w:sz w:val="20"/>
    </w:rPr>
  </w:style>
  <w:style w:type="character" w:customStyle="1" w:styleId="LightBlue">
    <w:name w:val="Light Blue"/>
    <w:basedOn w:val="DefaultParagraphFont"/>
    <w:uiPriority w:val="1"/>
    <w:qFormat/>
    <w:rsid w:val="002E27F4"/>
    <w:rPr>
      <w:b/>
      <w:color w:val="00519A"/>
    </w:rPr>
  </w:style>
  <w:style w:type="paragraph" w:customStyle="1" w:styleId="TitlePageText">
    <w:name w:val="Title Page Text"/>
    <w:basedOn w:val="Normal"/>
    <w:uiPriority w:val="2"/>
    <w:semiHidden/>
    <w:rsid w:val="002E27F4"/>
    <w:pPr>
      <w:jc w:val="center"/>
    </w:pPr>
    <w:rPr>
      <w:color w:val="00519A"/>
      <w:sz w:val="28"/>
      <w:szCs w:val="32"/>
    </w:rPr>
  </w:style>
  <w:style w:type="paragraph" w:styleId="Title">
    <w:name w:val="Title"/>
    <w:basedOn w:val="Normal"/>
    <w:next w:val="Normal"/>
    <w:link w:val="TitleChar"/>
    <w:uiPriority w:val="2"/>
    <w:semiHidden/>
    <w:rsid w:val="002E27F4"/>
    <w:pPr>
      <w:jc w:val="center"/>
    </w:pPr>
    <w:rPr>
      <w:b/>
      <w:color w:val="003C71"/>
      <w:sz w:val="36"/>
      <w:szCs w:val="36"/>
    </w:rPr>
  </w:style>
  <w:style w:type="character" w:customStyle="1" w:styleId="TitleChar">
    <w:name w:val="Title Char"/>
    <w:basedOn w:val="DefaultParagraphFont"/>
    <w:link w:val="Title"/>
    <w:uiPriority w:val="2"/>
    <w:semiHidden/>
    <w:rsid w:val="002E27F4"/>
    <w:rPr>
      <w:rFonts w:ascii="Arial" w:hAnsi="Arial"/>
      <w:b/>
      <w:color w:val="003C71"/>
      <w:sz w:val="36"/>
      <w:szCs w:val="36"/>
    </w:rPr>
  </w:style>
  <w:style w:type="paragraph" w:customStyle="1" w:styleId="Contents">
    <w:name w:val="Contents"/>
    <w:basedOn w:val="Normal"/>
    <w:uiPriority w:val="3"/>
    <w:semiHidden/>
    <w:rsid w:val="002E27F4"/>
    <w:pPr>
      <w:spacing w:after="227"/>
      <w:jc w:val="both"/>
    </w:pPr>
    <w:rPr>
      <w:b/>
      <w:color w:val="003C71"/>
      <w:sz w:val="36"/>
    </w:rPr>
  </w:style>
  <w:style w:type="paragraph" w:styleId="TOC1">
    <w:name w:val="toc 1"/>
    <w:basedOn w:val="Normal"/>
    <w:next w:val="Normal"/>
    <w:link w:val="TOC1Char"/>
    <w:autoRedefine/>
    <w:uiPriority w:val="39"/>
    <w:unhideWhenUsed/>
    <w:qFormat/>
    <w:rsid w:val="002E27F4"/>
    <w:pPr>
      <w:keepNext/>
      <w:tabs>
        <w:tab w:val="right" w:leader="dot" w:pos="9060"/>
      </w:tabs>
      <w:spacing w:after="227"/>
      <w:jc w:val="both"/>
    </w:pPr>
    <w:rPr>
      <w:color w:val="00519A"/>
      <w:sz w:val="24"/>
    </w:rPr>
  </w:style>
  <w:style w:type="character" w:customStyle="1" w:styleId="Heading2Char">
    <w:name w:val="Heading 2 Char"/>
    <w:basedOn w:val="DefaultParagraphFont"/>
    <w:link w:val="Heading2"/>
    <w:uiPriority w:val="1"/>
    <w:rsid w:val="002E27F4"/>
    <w:rPr>
      <w:rFonts w:ascii="Arial" w:eastAsiaTheme="majorEastAsia" w:hAnsi="Arial" w:cstheme="majorBidi"/>
      <w:b/>
      <w:color w:val="00519A"/>
      <w:sz w:val="32"/>
      <w:szCs w:val="26"/>
    </w:rPr>
  </w:style>
  <w:style w:type="paragraph" w:styleId="TOC2">
    <w:name w:val="toc 2"/>
    <w:basedOn w:val="Normal"/>
    <w:next w:val="Normal"/>
    <w:autoRedefine/>
    <w:uiPriority w:val="39"/>
    <w:unhideWhenUsed/>
    <w:qFormat/>
    <w:rsid w:val="002E27F4"/>
    <w:pPr>
      <w:tabs>
        <w:tab w:val="right" w:leader="dot" w:pos="9060"/>
      </w:tabs>
      <w:spacing w:after="170"/>
      <w:ind w:left="567"/>
    </w:pPr>
    <w:rPr>
      <w:color w:val="000000" w:themeColor="text1"/>
    </w:rPr>
  </w:style>
  <w:style w:type="character" w:customStyle="1" w:styleId="Heading3Char">
    <w:name w:val="Heading 3 Char"/>
    <w:basedOn w:val="DefaultParagraphFont"/>
    <w:link w:val="Heading3"/>
    <w:uiPriority w:val="9"/>
    <w:rsid w:val="002E27F4"/>
    <w:rPr>
      <w:rFonts w:ascii="Arial" w:eastAsiaTheme="majorEastAsia" w:hAnsi="Arial" w:cstheme="majorBidi"/>
      <w:b/>
      <w:color w:val="00519A"/>
      <w:sz w:val="24"/>
      <w:szCs w:val="24"/>
    </w:rPr>
  </w:style>
  <w:style w:type="paragraph" w:customStyle="1" w:styleId="Bullet1">
    <w:name w:val="Bullet 1"/>
    <w:basedOn w:val="BodyText"/>
    <w:qFormat/>
    <w:rsid w:val="002E27F4"/>
    <w:pPr>
      <w:numPr>
        <w:numId w:val="2"/>
      </w:numPr>
      <w:tabs>
        <w:tab w:val="clear" w:pos="284"/>
      </w:tabs>
      <w:ind w:left="547" w:hanging="547"/>
    </w:pPr>
  </w:style>
  <w:style w:type="paragraph" w:customStyle="1" w:styleId="Bullet2">
    <w:name w:val="Bullet 2"/>
    <w:basedOn w:val="BodyText"/>
    <w:qFormat/>
    <w:rsid w:val="002E27F4"/>
    <w:pPr>
      <w:numPr>
        <w:numId w:val="3"/>
      </w:numPr>
      <w:tabs>
        <w:tab w:val="clear" w:pos="567"/>
      </w:tabs>
      <w:ind w:left="1094" w:hanging="547"/>
    </w:pPr>
  </w:style>
  <w:style w:type="paragraph" w:customStyle="1" w:styleId="Recommendations">
    <w:name w:val="Recommendations"/>
    <w:basedOn w:val="Heading2"/>
    <w:uiPriority w:val="1"/>
    <w:qFormat/>
    <w:rsid w:val="002E27F4"/>
    <w:pPr>
      <w:pageBreakBefore/>
      <w:pBdr>
        <w:top w:val="single" w:sz="24" w:space="11" w:color="003C71"/>
      </w:pBdr>
    </w:pPr>
  </w:style>
  <w:style w:type="paragraph" w:customStyle="1" w:styleId="RecommendationsText">
    <w:name w:val="Recommendations Text"/>
    <w:basedOn w:val="BodyText"/>
    <w:uiPriority w:val="1"/>
    <w:qFormat/>
    <w:rsid w:val="002E27F4"/>
    <w:pPr>
      <w:numPr>
        <w:numId w:val="24"/>
      </w:numPr>
    </w:pPr>
    <w:rPr>
      <w:color w:val="00519A"/>
    </w:rPr>
  </w:style>
  <w:style w:type="paragraph" w:customStyle="1" w:styleId="RecommendationsBullet1">
    <w:name w:val="Recommendations Bullet 1"/>
    <w:basedOn w:val="Bullet1"/>
    <w:uiPriority w:val="1"/>
    <w:qFormat/>
    <w:rsid w:val="002E27F4"/>
    <w:pPr>
      <w:numPr>
        <w:ilvl w:val="1"/>
        <w:numId w:val="24"/>
      </w:numPr>
    </w:pPr>
    <w:rPr>
      <w:color w:val="00519A"/>
    </w:rPr>
  </w:style>
  <w:style w:type="paragraph" w:customStyle="1" w:styleId="Response">
    <w:name w:val="Response"/>
    <w:basedOn w:val="Heading2"/>
    <w:next w:val="BodyText"/>
    <w:uiPriority w:val="1"/>
    <w:qFormat/>
    <w:rsid w:val="002E27F4"/>
    <w:pPr>
      <w:pageBreakBefore/>
    </w:pPr>
    <w:rPr>
      <w:rFonts w:ascii="Arial Bold" w:hAnsi="Arial Bold"/>
    </w:rPr>
  </w:style>
  <w:style w:type="paragraph" w:styleId="Quote">
    <w:name w:val="Quote"/>
    <w:basedOn w:val="Normal"/>
    <w:next w:val="BodyText"/>
    <w:link w:val="QuoteChar"/>
    <w:uiPriority w:val="1"/>
    <w:qFormat/>
    <w:rsid w:val="002E27F4"/>
    <w:pPr>
      <w:spacing w:after="170"/>
      <w:ind w:left="567" w:right="567"/>
      <w:jc w:val="both"/>
    </w:pPr>
    <w:rPr>
      <w:iCs/>
      <w:color w:val="000000" w:themeColor="text1"/>
    </w:rPr>
  </w:style>
  <w:style w:type="character" w:customStyle="1" w:styleId="QuoteChar">
    <w:name w:val="Quote Char"/>
    <w:basedOn w:val="DefaultParagraphFont"/>
    <w:link w:val="Quote"/>
    <w:uiPriority w:val="1"/>
    <w:rsid w:val="002E27F4"/>
    <w:rPr>
      <w:rFonts w:ascii="Arial" w:hAnsi="Arial"/>
      <w:iCs/>
      <w:color w:val="000000" w:themeColor="text1"/>
    </w:rPr>
  </w:style>
  <w:style w:type="paragraph" w:styleId="FootnoteText">
    <w:name w:val="footnote text"/>
    <w:basedOn w:val="Normal"/>
    <w:link w:val="FootnoteTextChar"/>
    <w:uiPriority w:val="99"/>
    <w:rsid w:val="002E27F4"/>
    <w:pPr>
      <w:spacing w:after="170"/>
      <w:jc w:val="both"/>
    </w:pPr>
    <w:rPr>
      <w:color w:val="000000" w:themeColor="text1"/>
      <w:sz w:val="16"/>
      <w:szCs w:val="20"/>
    </w:rPr>
  </w:style>
  <w:style w:type="character" w:customStyle="1" w:styleId="FootnoteTextChar">
    <w:name w:val="Footnote Text Char"/>
    <w:basedOn w:val="DefaultParagraphFont"/>
    <w:link w:val="FootnoteText"/>
    <w:uiPriority w:val="99"/>
    <w:rsid w:val="002E27F4"/>
    <w:rPr>
      <w:rFonts w:ascii="Arial" w:hAnsi="Arial"/>
      <w:color w:val="000000" w:themeColor="text1"/>
      <w:sz w:val="16"/>
      <w:szCs w:val="20"/>
    </w:rPr>
  </w:style>
  <w:style w:type="character" w:styleId="FootnoteReference">
    <w:name w:val="footnote reference"/>
    <w:basedOn w:val="DefaultParagraphFont"/>
    <w:uiPriority w:val="99"/>
    <w:semiHidden/>
    <w:rsid w:val="002E27F4"/>
    <w:rPr>
      <w:vertAlign w:val="superscript"/>
    </w:rPr>
  </w:style>
  <w:style w:type="paragraph" w:customStyle="1" w:styleId="TableText">
    <w:name w:val="Table Text"/>
    <w:basedOn w:val="Normal"/>
    <w:uiPriority w:val="1"/>
    <w:qFormat/>
    <w:rsid w:val="002E27F4"/>
    <w:pPr>
      <w:spacing w:before="60" w:after="60"/>
    </w:pPr>
    <w:rPr>
      <w:sz w:val="20"/>
    </w:rPr>
  </w:style>
  <w:style w:type="paragraph" w:customStyle="1" w:styleId="TableHeading-White">
    <w:name w:val="Table Heading - White"/>
    <w:basedOn w:val="TableText"/>
    <w:uiPriority w:val="1"/>
    <w:qFormat/>
    <w:rsid w:val="002E27F4"/>
    <w:rPr>
      <w:b/>
      <w:color w:val="FFFFFF" w:themeColor="background1"/>
    </w:rPr>
  </w:style>
  <w:style w:type="paragraph" w:customStyle="1" w:styleId="TableSource">
    <w:name w:val="Table Source"/>
    <w:basedOn w:val="Normal"/>
    <w:uiPriority w:val="1"/>
    <w:qFormat/>
    <w:rsid w:val="002E27F4"/>
    <w:pPr>
      <w:spacing w:before="57" w:after="57"/>
      <w:jc w:val="right"/>
    </w:pPr>
    <w:rPr>
      <w:sz w:val="18"/>
    </w:rPr>
  </w:style>
  <w:style w:type="paragraph" w:customStyle="1" w:styleId="TableHeading-Black">
    <w:name w:val="Table Heading - Black"/>
    <w:basedOn w:val="TableText"/>
    <w:uiPriority w:val="1"/>
    <w:qFormat/>
    <w:rsid w:val="002E27F4"/>
    <w:rPr>
      <w:b/>
    </w:rPr>
  </w:style>
  <w:style w:type="paragraph" w:customStyle="1" w:styleId="NoteText">
    <w:name w:val="Note Text"/>
    <w:basedOn w:val="Normal"/>
    <w:uiPriority w:val="1"/>
    <w:qFormat/>
    <w:rsid w:val="002E27F4"/>
    <w:pPr>
      <w:spacing w:after="170"/>
      <w:jc w:val="both"/>
    </w:pPr>
    <w:rPr>
      <w:i/>
    </w:rPr>
  </w:style>
  <w:style w:type="paragraph" w:styleId="Caption">
    <w:name w:val="caption"/>
    <w:basedOn w:val="Normal"/>
    <w:next w:val="BodyText"/>
    <w:uiPriority w:val="99"/>
    <w:semiHidden/>
    <w:rsid w:val="002E27F4"/>
    <w:pPr>
      <w:spacing w:before="57" w:after="170"/>
      <w:jc w:val="both"/>
    </w:pPr>
    <w:rPr>
      <w:b/>
      <w:iCs/>
      <w:color w:val="000000" w:themeColor="text1"/>
      <w:sz w:val="20"/>
      <w:szCs w:val="18"/>
    </w:rPr>
  </w:style>
  <w:style w:type="paragraph" w:customStyle="1" w:styleId="OfficeTitle-BC">
    <w:name w:val="Office Title - BC"/>
    <w:basedOn w:val="OfficeTitle-IC"/>
    <w:uiPriority w:val="2"/>
    <w:semiHidden/>
    <w:rsid w:val="002E27F4"/>
    <w:rPr>
      <w:b w:val="0"/>
      <w:color w:val="000000" w:themeColor="text1"/>
    </w:rPr>
  </w:style>
  <w:style w:type="paragraph" w:customStyle="1" w:styleId="OfficeSmallText-BC">
    <w:name w:val="Office Small Text - BC"/>
    <w:basedOn w:val="Normal"/>
    <w:uiPriority w:val="2"/>
    <w:semiHidden/>
    <w:rsid w:val="002E27F4"/>
    <w:pPr>
      <w:ind w:right="4820"/>
    </w:pPr>
    <w:rPr>
      <w:color w:val="000000" w:themeColor="text1"/>
      <w:sz w:val="18"/>
    </w:rPr>
  </w:style>
  <w:style w:type="paragraph" w:customStyle="1" w:styleId="TableHeading-Blue">
    <w:name w:val="Table Heading - Blue"/>
    <w:basedOn w:val="TableText"/>
    <w:next w:val="TableText"/>
    <w:uiPriority w:val="1"/>
    <w:qFormat/>
    <w:rsid w:val="002E27F4"/>
    <w:rPr>
      <w:b/>
      <w:color w:val="00519A"/>
    </w:rPr>
  </w:style>
  <w:style w:type="character" w:styleId="PlaceholderText">
    <w:name w:val="Placeholder Text"/>
    <w:basedOn w:val="DefaultParagraphFont"/>
    <w:uiPriority w:val="99"/>
    <w:semiHidden/>
    <w:rsid w:val="002E27F4"/>
    <w:rPr>
      <w:color w:val="808080"/>
    </w:rPr>
  </w:style>
  <w:style w:type="table" w:customStyle="1" w:styleId="OAGTable">
    <w:name w:val="OAG Table"/>
    <w:basedOn w:val="TableNormal"/>
    <w:uiPriority w:val="99"/>
    <w:rsid w:val="002E27F4"/>
    <w:pPr>
      <w:spacing w:after="0" w:line="240" w:lineRule="auto"/>
    </w:pPr>
    <w:rPr>
      <w:rFonts w:ascii="Arial" w:hAnsi="Arial"/>
      <w:sz w:val="20"/>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paragraph" w:styleId="ListNumber">
    <w:name w:val="List Number"/>
    <w:basedOn w:val="Normal"/>
    <w:qFormat/>
    <w:rsid w:val="002E27F4"/>
    <w:pPr>
      <w:numPr>
        <w:numId w:val="9"/>
      </w:numPr>
      <w:tabs>
        <w:tab w:val="clear" w:pos="360"/>
      </w:tabs>
      <w:spacing w:after="170"/>
      <w:ind w:left="357" w:hanging="357"/>
    </w:pPr>
  </w:style>
  <w:style w:type="paragraph" w:customStyle="1" w:styleId="CaseStudyHeading">
    <w:name w:val="Case Study Heading"/>
    <w:basedOn w:val="BodyText"/>
    <w:next w:val="BodyText"/>
    <w:uiPriority w:val="2"/>
    <w:semiHidden/>
    <w:rsid w:val="002E27F4"/>
    <w:rPr>
      <w:color w:val="00519A"/>
    </w:rPr>
  </w:style>
  <w:style w:type="table" w:customStyle="1" w:styleId="CaseStudy">
    <w:name w:val="Case Study"/>
    <w:basedOn w:val="TableNormal"/>
    <w:uiPriority w:val="99"/>
    <w:rsid w:val="002E27F4"/>
    <w:pPr>
      <w:spacing w:after="0" w:line="240" w:lineRule="auto"/>
    </w:pPr>
    <w:tblPr>
      <w:tblCellMar>
        <w:top w:w="108" w:type="dxa"/>
        <w:bottom w:w="108" w:type="dxa"/>
      </w:tblCellMar>
    </w:tblPr>
    <w:tcPr>
      <w:shd w:val="clear" w:color="auto" w:fill="E8F2F8"/>
    </w:tcPr>
  </w:style>
  <w:style w:type="paragraph" w:customStyle="1" w:styleId="DraftConfidential">
    <w:name w:val="Draft Confidential"/>
    <w:basedOn w:val="Normal"/>
    <w:uiPriority w:val="2"/>
    <w:semiHidden/>
    <w:rsid w:val="002E27F4"/>
    <w:pPr>
      <w:spacing w:after="160"/>
      <w:jc w:val="center"/>
    </w:pPr>
    <w:rPr>
      <w:b/>
      <w:i/>
    </w:rPr>
  </w:style>
  <w:style w:type="character" w:customStyle="1" w:styleId="Heading4Char">
    <w:name w:val="Heading 4 Char"/>
    <w:basedOn w:val="DefaultParagraphFont"/>
    <w:link w:val="Heading4"/>
    <w:uiPriority w:val="1"/>
    <w:rsid w:val="002E27F4"/>
    <w:rPr>
      <w:rFonts w:asciiTheme="majorHAnsi" w:eastAsiaTheme="majorEastAsia" w:hAnsiTheme="majorHAnsi" w:cstheme="majorBidi"/>
      <w:i/>
      <w:iCs/>
      <w:color w:val="00519A"/>
    </w:rPr>
  </w:style>
  <w:style w:type="paragraph" w:customStyle="1" w:styleId="Figureheading">
    <w:name w:val="Figure heading"/>
    <w:basedOn w:val="Normal"/>
    <w:next w:val="BodyText"/>
    <w:uiPriority w:val="2"/>
    <w:qFormat/>
    <w:rsid w:val="002E27F4"/>
    <w:rPr>
      <w:b/>
      <w:sz w:val="20"/>
    </w:rPr>
  </w:style>
  <w:style w:type="paragraph" w:customStyle="1" w:styleId="Figuresource">
    <w:name w:val="Figure source"/>
    <w:basedOn w:val="Normal"/>
    <w:next w:val="BodyText"/>
    <w:uiPriority w:val="2"/>
    <w:rsid w:val="002E27F4"/>
    <w:pPr>
      <w:jc w:val="right"/>
    </w:pPr>
    <w:rPr>
      <w:sz w:val="18"/>
    </w:rPr>
  </w:style>
  <w:style w:type="paragraph" w:styleId="BalloonText">
    <w:name w:val="Balloon Text"/>
    <w:basedOn w:val="Normal"/>
    <w:link w:val="BalloonTextChar"/>
    <w:uiPriority w:val="99"/>
    <w:semiHidden/>
    <w:unhideWhenUsed/>
    <w:rsid w:val="002E2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7F4"/>
    <w:rPr>
      <w:rFonts w:ascii="Segoe UI" w:hAnsi="Segoe UI" w:cs="Segoe UI"/>
      <w:sz w:val="18"/>
      <w:szCs w:val="18"/>
    </w:rPr>
  </w:style>
  <w:style w:type="paragraph" w:customStyle="1" w:styleId="Casestudy0">
    <w:name w:val="Case study"/>
    <w:basedOn w:val="Normal"/>
    <w:uiPriority w:val="2"/>
    <w:qFormat/>
    <w:rsid w:val="002E27F4"/>
    <w:rPr>
      <w:b/>
      <w:color w:val="003C71" w:themeColor="accent1"/>
    </w:rPr>
  </w:style>
  <w:style w:type="character" w:customStyle="1" w:styleId="TOC1Char">
    <w:name w:val="TOC 1 Char"/>
    <w:basedOn w:val="DefaultParagraphFont"/>
    <w:link w:val="TOC1"/>
    <w:uiPriority w:val="39"/>
    <w:rsid w:val="004B146E"/>
    <w:rPr>
      <w:rFonts w:ascii="Arial" w:hAnsi="Arial"/>
      <w:color w:val="00519A"/>
      <w:sz w:val="24"/>
    </w:rPr>
  </w:style>
  <w:style w:type="paragraph" w:customStyle="1" w:styleId="NoParagraphStyle">
    <w:name w:val="[No Paragraph Style]"/>
    <w:uiPriority w:val="99"/>
    <w:semiHidden/>
    <w:rsid w:val="004B146E"/>
    <w:pPr>
      <w:autoSpaceDE w:val="0"/>
      <w:autoSpaceDN w:val="0"/>
      <w:adjustRightInd w:val="0"/>
      <w:spacing w:after="0" w:line="288" w:lineRule="auto"/>
      <w:textAlignment w:val="center"/>
    </w:pPr>
    <w:rPr>
      <w:rFonts w:ascii="Minion Pro" w:hAnsi="Minion Pro" w:cs="Minion Pro"/>
      <w:color w:val="000000"/>
      <w:sz w:val="24"/>
      <w:szCs w:val="24"/>
      <w:lang w:val="en-GB"/>
    </w:rPr>
  </w:style>
  <w:style w:type="numbering" w:customStyle="1" w:styleId="BulletsList">
    <w:name w:val="Bullets List"/>
    <w:uiPriority w:val="99"/>
    <w:rsid w:val="004B146E"/>
    <w:pPr>
      <w:numPr>
        <w:numId w:val="25"/>
      </w:numPr>
    </w:pPr>
  </w:style>
  <w:style w:type="table" w:styleId="TableGridLight">
    <w:name w:val="Grid Table Light"/>
    <w:basedOn w:val="TableNormal"/>
    <w:uiPriority w:val="40"/>
    <w:rsid w:val="00DF03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AGTable3">
    <w:name w:val="OAG Table3"/>
    <w:basedOn w:val="TableNormal"/>
    <w:uiPriority w:val="99"/>
    <w:rsid w:val="00DF035A"/>
    <w:pPr>
      <w:spacing w:after="0" w:line="240" w:lineRule="auto"/>
    </w:pPr>
    <w:rPr>
      <w:rFonts w:ascii="Arial" w:hAnsi="Arial"/>
      <w:sz w:val="20"/>
    </w:rPr>
    <w:tblPr>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Pr>
    <w:tblStylePr w:type="firstRow">
      <w:rPr>
        <w:rFonts w:ascii="Arial" w:hAnsi="Arial"/>
        <w:b/>
        <w:color w:val="FFFFFF" w:themeColor="background1"/>
        <w:sz w:val="20"/>
      </w:rPr>
      <w:tblPr/>
      <w:tcPr>
        <w:shd w:val="clear" w:color="auto" w:fill="003C71"/>
      </w:tcPr>
    </w:tblStylePr>
  </w:style>
  <w:style w:type="numbering" w:customStyle="1" w:styleId="Style1">
    <w:name w:val="Style1"/>
    <w:uiPriority w:val="99"/>
    <w:rsid w:val="00DD178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0780">
      <w:bodyDiv w:val="1"/>
      <w:marLeft w:val="0"/>
      <w:marRight w:val="0"/>
      <w:marTop w:val="0"/>
      <w:marBottom w:val="0"/>
      <w:divBdr>
        <w:top w:val="none" w:sz="0" w:space="0" w:color="auto"/>
        <w:left w:val="none" w:sz="0" w:space="0" w:color="auto"/>
        <w:bottom w:val="none" w:sz="0" w:space="0" w:color="auto"/>
        <w:right w:val="none" w:sz="0" w:space="0" w:color="auto"/>
      </w:divBdr>
    </w:div>
    <w:div w:id="1954822639">
      <w:bodyDiv w:val="1"/>
      <w:marLeft w:val="0"/>
      <w:marRight w:val="0"/>
      <w:marTop w:val="0"/>
      <w:marBottom w:val="0"/>
      <w:divBdr>
        <w:top w:val="none" w:sz="0" w:space="0" w:color="auto"/>
        <w:left w:val="none" w:sz="0" w:space="0" w:color="auto"/>
        <w:bottom w:val="none" w:sz="0" w:space="0" w:color="auto"/>
        <w:right w:val="none" w:sz="0" w:space="0" w:color="auto"/>
      </w:divBdr>
    </w:div>
    <w:div w:id="207797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roView\OAG%20Templates\Templates\Audit%20Report.dotx" TargetMode="External"/></Relationships>
</file>

<file path=word/theme/theme1.xml><?xml version="1.0" encoding="utf-8"?>
<a:theme xmlns:a="http://schemas.openxmlformats.org/drawingml/2006/main" name="Office Theme">
  <a:themeElements>
    <a:clrScheme name="OAG">
      <a:dk1>
        <a:sysClr val="windowText" lastClr="000000"/>
      </a:dk1>
      <a:lt1>
        <a:sysClr val="window" lastClr="FFFFFF"/>
      </a:lt1>
      <a:dk2>
        <a:srgbClr val="0099CC"/>
      </a:dk2>
      <a:lt2>
        <a:srgbClr val="0066FF"/>
      </a:lt2>
      <a:accent1>
        <a:srgbClr val="003C71"/>
      </a:accent1>
      <a:accent2>
        <a:srgbClr val="54585A"/>
      </a:accent2>
      <a:accent3>
        <a:srgbClr val="7BAFD4"/>
      </a:accent3>
      <a:accent4>
        <a:srgbClr val="001E38"/>
      </a:accent4>
      <a:accent5>
        <a:srgbClr val="969B9D"/>
      </a:accent5>
      <a:accent6>
        <a:srgbClr val="AFCFE5"/>
      </a:accent6>
      <a:hlink>
        <a:srgbClr val="0563C1"/>
      </a:hlink>
      <a:folHlink>
        <a:srgbClr val="954F72"/>
      </a:folHlink>
    </a:clrScheme>
    <a:fontScheme name="OA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1 6 " ? > < r o o t   x m l n s = " h t t p : / / s c h e m a s . m a c r o v i e w . c o m . a u / w a _ o a g / r e p o r t " >  
     < R e p o r t T i t l e / >  
     < R e p o r t N u m b e r / >  
     < D a t e / >  
     < I S B N / >  
     < D r a f t C o n f i d e n t i a l > T h i s   S u m m a r y   o f   F i n d i n g s   i s   p r o v i d e d   f o r   t h e   s o l e   p u r p o s e   o f   t h e   r e c i p i e n t   p r o v i d i n g   s u b m i s s i o n s   o r   c o m m e n t s   t o   t h e   A u d i t o r   G e n e r a l .   T h e   r e c i p i e n t   m u s t   r e t a i n   c o n f i d e n t i a l i t y   i n   a c c o r d a n c e   w i t h   s e c t i o n   4 6 ( 4 )   o f   t h e   A u d i t o r   G e n e r a l   A c t   2 0 0 6   a n d   s h o u l d   n o t   c o m m u n i c a t e   i t s   c o n t e n t s   o r   c o p y   i t   f o r   a n y   o t h e r   p u r p o s e . < / D r a f t C o n f i d e n t i a l >  
 < / r o o t > 
</file>

<file path=customXml/itemProps1.xml><?xml version="1.0" encoding="utf-8"?>
<ds:datastoreItem xmlns:ds="http://schemas.openxmlformats.org/officeDocument/2006/customXml" ds:itemID="{E45B794A-CC38-4158-9367-D3830E405115}">
  <ds:schemaRefs>
    <ds:schemaRef ds:uri="http://schemas.openxmlformats.org/officeDocument/2006/bibliography"/>
  </ds:schemaRefs>
</ds:datastoreItem>
</file>

<file path=customXml/itemProps2.xml><?xml version="1.0" encoding="utf-8"?>
<ds:datastoreItem xmlns:ds="http://schemas.openxmlformats.org/officeDocument/2006/customXml" ds:itemID="{D70D7E0B-3621-4067-B169-4A4C9ED7F84D}">
  <ds:schemaRefs>
    <ds:schemaRef ds:uri="http://schemas.macroview.com.au/wa_oag/report"/>
  </ds:schemaRefs>
</ds:datastoreItem>
</file>

<file path=docProps/app.xml><?xml version="1.0" encoding="utf-8"?>
<Properties xmlns="http://schemas.openxmlformats.org/officeDocument/2006/extended-properties" xmlns:vt="http://schemas.openxmlformats.org/officeDocument/2006/docPropsVTypes">
  <Template>Audit Report</Template>
  <TotalTime>1</TotalTime>
  <Pages>4</Pages>
  <Words>1324</Words>
  <Characters>7551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Executive summary</vt:lpstr>
      <vt:lpstr>    Background</vt:lpstr>
      <vt:lpstr>    Conclusion</vt:lpstr>
      <vt:lpstr>    Key findings</vt:lpstr>
      <vt:lpstr>    Recommendations</vt:lpstr>
      <vt:lpstr>Audit focus and scope</vt:lpstr>
      <vt:lpstr>Audit findings</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Virginia</dc:creator>
  <cp:keywords/>
  <dc:description/>
  <cp:lastModifiedBy>Maria Virginia</cp:lastModifiedBy>
  <cp:revision>2</cp:revision>
  <cp:lastPrinted>2015-02-03T03:14:00Z</cp:lastPrinted>
  <dcterms:created xsi:type="dcterms:W3CDTF">2021-06-11T04:32:00Z</dcterms:created>
  <dcterms:modified xsi:type="dcterms:W3CDTF">2021-06-11T04:32:00Z</dcterms:modified>
  <cp:version>20.05.2019</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Audit Report</vt:lpwstr>
  </property>
  <property fmtid="{D5CDD505-2E9C-101B-9397-08002B2CF9AE}" pid="3" name="Status">
    <vt:lpwstr>draft</vt:lpwstr>
  </property>
  <property fmtid="{D5CDD505-2E9C-101B-9397-08002B2CF9AE}" pid="4" name="Version">
    <vt:lpwstr>1.6.9.0</vt:lpwstr>
  </property>
</Properties>
</file>