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D0CB3" w14:textId="1BFD69A5" w:rsidR="00DF035A" w:rsidRDefault="00DF035A" w:rsidP="00DF035A">
      <w:pPr>
        <w:pStyle w:val="Heading2"/>
      </w:pPr>
      <w:bookmarkStart w:id="0" w:name="_Toc67495771"/>
      <w:bookmarkStart w:id="1" w:name="_Toc72835646"/>
      <w:r w:rsidRPr="00201E83">
        <w:t xml:space="preserve">Tool </w:t>
      </w:r>
      <w:r>
        <w:t>4</w:t>
      </w:r>
      <w:r w:rsidRPr="00201E83">
        <w:t xml:space="preserve"> </w:t>
      </w:r>
      <w:r>
        <w:t>e</w:t>
      </w:r>
      <w:r w:rsidRPr="00201E83">
        <w:t>xample</w:t>
      </w:r>
      <w:r>
        <w:t>:</w:t>
      </w:r>
      <w:r w:rsidRPr="00201E83">
        <w:t xml:space="preserve"> Financial </w:t>
      </w:r>
      <w:r>
        <w:t>s</w:t>
      </w:r>
      <w:r w:rsidRPr="00201E83">
        <w:t xml:space="preserve">tatements </w:t>
      </w:r>
      <w:r>
        <w:t>r</w:t>
      </w:r>
      <w:r w:rsidRPr="00201E83">
        <w:t>eporting timetable</w:t>
      </w:r>
      <w:bookmarkEnd w:id="0"/>
      <w:bookmarkEnd w:id="1"/>
    </w:p>
    <w:p w14:paraId="6DC1A025" w14:textId="77777777" w:rsidR="00DF035A" w:rsidRPr="00AF06C4" w:rsidRDefault="00DF035A" w:rsidP="00DF035A">
      <w:pPr>
        <w:pStyle w:val="Heading3"/>
      </w:pPr>
      <w:r w:rsidRPr="00AF06C4">
        <w:t>Financial reporting timetable for the year ended 30 June 20</w:t>
      </w:r>
      <w:r>
        <w:t>2x</w:t>
      </w:r>
    </w:p>
    <w:tbl>
      <w:tblPr>
        <w:tblStyle w:val="OAGTable3"/>
        <w:tblW w:w="9067" w:type="dxa"/>
        <w:tblLayout w:type="fixed"/>
        <w:tblLook w:val="01E0" w:firstRow="1" w:lastRow="1" w:firstColumn="1" w:lastColumn="1" w:noHBand="0" w:noVBand="0"/>
      </w:tblPr>
      <w:tblGrid>
        <w:gridCol w:w="1980"/>
        <w:gridCol w:w="3969"/>
        <w:gridCol w:w="1843"/>
        <w:gridCol w:w="1275"/>
      </w:tblGrid>
      <w:tr w:rsidR="00DF035A" w:rsidRPr="00567373" w14:paraId="33371A26" w14:textId="77777777" w:rsidTr="00100A44">
        <w:trPr>
          <w:cnfStyle w:val="100000000000" w:firstRow="1" w:lastRow="0" w:firstColumn="0" w:lastColumn="0" w:oddVBand="0" w:evenVBand="0" w:oddHBand="0" w:evenHBand="0" w:firstRowFirstColumn="0" w:firstRowLastColumn="0" w:lastRowFirstColumn="0" w:lastRowLastColumn="0"/>
          <w:trHeight w:val="138"/>
          <w:tblHeader/>
        </w:trPr>
        <w:tc>
          <w:tcPr>
            <w:tcW w:w="1980" w:type="dxa"/>
          </w:tcPr>
          <w:p w14:paraId="3829922B" w14:textId="77777777" w:rsidR="00DF035A" w:rsidRPr="00BC5EFF" w:rsidRDefault="00DF035A" w:rsidP="00100A44">
            <w:pPr>
              <w:pStyle w:val="TableHeading-White"/>
              <w:rPr>
                <w:b/>
                <w:bCs/>
                <w:lang w:val="en-GB"/>
              </w:rPr>
            </w:pPr>
            <w:r w:rsidRPr="00BC5EFF">
              <w:rPr>
                <w:b/>
                <w:bCs/>
                <w:lang w:val="en-GB"/>
              </w:rPr>
              <w:t>Timeframe</w:t>
            </w:r>
          </w:p>
        </w:tc>
        <w:tc>
          <w:tcPr>
            <w:tcW w:w="3969" w:type="dxa"/>
            <w:vAlign w:val="center"/>
          </w:tcPr>
          <w:p w14:paraId="2DD956A9" w14:textId="77777777" w:rsidR="00DF035A" w:rsidRPr="00BC5EFF" w:rsidRDefault="00DF035A" w:rsidP="00100A44">
            <w:pPr>
              <w:pStyle w:val="TableHeading-White"/>
              <w:rPr>
                <w:b/>
                <w:bCs/>
                <w:lang w:val="en-GB"/>
              </w:rPr>
            </w:pPr>
            <w:r w:rsidRPr="00BC5EFF">
              <w:rPr>
                <w:b/>
                <w:bCs/>
                <w:lang w:val="en-GB"/>
              </w:rPr>
              <w:t>Task</w:t>
            </w:r>
          </w:p>
        </w:tc>
        <w:tc>
          <w:tcPr>
            <w:tcW w:w="1843" w:type="dxa"/>
            <w:vAlign w:val="center"/>
          </w:tcPr>
          <w:p w14:paraId="05DE5F79" w14:textId="77777777" w:rsidR="00DF035A" w:rsidRPr="00BC5EFF" w:rsidRDefault="00DF035A" w:rsidP="00100A44">
            <w:pPr>
              <w:pStyle w:val="TableHeading-White"/>
              <w:rPr>
                <w:b/>
                <w:bCs/>
                <w:lang w:val="en-GB"/>
              </w:rPr>
            </w:pPr>
            <w:r w:rsidRPr="00BC5EFF">
              <w:rPr>
                <w:b/>
                <w:bCs/>
                <w:lang w:val="en-GB"/>
              </w:rPr>
              <w:t>Responsibility</w:t>
            </w:r>
          </w:p>
        </w:tc>
        <w:tc>
          <w:tcPr>
            <w:tcW w:w="1275" w:type="dxa"/>
            <w:vAlign w:val="center"/>
          </w:tcPr>
          <w:p w14:paraId="3F0162C6" w14:textId="77777777" w:rsidR="00DF035A" w:rsidRPr="00BC5EFF" w:rsidRDefault="00DF035A" w:rsidP="00100A44">
            <w:pPr>
              <w:pStyle w:val="TableHeading-White"/>
              <w:rPr>
                <w:b/>
                <w:bCs/>
                <w:lang w:val="en-GB"/>
              </w:rPr>
            </w:pPr>
            <w:r w:rsidRPr="00BC5EFF">
              <w:rPr>
                <w:b/>
                <w:bCs/>
                <w:lang w:val="en-GB"/>
              </w:rPr>
              <w:t>Status</w:t>
            </w:r>
          </w:p>
        </w:tc>
      </w:tr>
      <w:tr w:rsidR="00DF035A" w:rsidRPr="00567373" w14:paraId="529050CA" w14:textId="77777777" w:rsidTr="00100A44">
        <w:trPr>
          <w:trHeight w:val="443"/>
        </w:trPr>
        <w:tc>
          <w:tcPr>
            <w:tcW w:w="1980" w:type="dxa"/>
          </w:tcPr>
          <w:p w14:paraId="63F303F0" w14:textId="77777777" w:rsidR="00DF035A" w:rsidRPr="00567373" w:rsidRDefault="00DF035A" w:rsidP="00100A44">
            <w:pPr>
              <w:pStyle w:val="TableHeading-Black"/>
              <w:rPr>
                <w:lang w:val="en-GB"/>
              </w:rPr>
            </w:pPr>
            <w:r w:rsidRPr="009A3157">
              <w:t>August/</w:t>
            </w:r>
            <w:r w:rsidRPr="009A3157">
              <w:br/>
              <w:t>September</w:t>
            </w:r>
          </w:p>
        </w:tc>
        <w:tc>
          <w:tcPr>
            <w:tcW w:w="3969" w:type="dxa"/>
          </w:tcPr>
          <w:p w14:paraId="7CEAE9BF" w14:textId="77777777" w:rsidR="00DF035A" w:rsidRPr="00BC5EFF" w:rsidRDefault="00DF035A" w:rsidP="00100A44">
            <w:pPr>
              <w:pStyle w:val="TableText"/>
            </w:pPr>
            <w:r w:rsidRPr="00BC5EFF">
              <w:t>Lessons learnt from previous year’s financial statements/audit process</w:t>
            </w:r>
          </w:p>
          <w:p w14:paraId="5B16433D" w14:textId="77777777" w:rsidR="00DF035A" w:rsidRPr="00BC5EFF" w:rsidRDefault="00DF035A" w:rsidP="00100A44">
            <w:pPr>
              <w:pStyle w:val="TableText"/>
            </w:pPr>
            <w:r w:rsidRPr="00BC5EFF">
              <w:t xml:space="preserve">Organise a </w:t>
            </w:r>
            <w:proofErr w:type="gramStart"/>
            <w:r w:rsidRPr="00BC5EFF">
              <w:t>lessons</w:t>
            </w:r>
            <w:proofErr w:type="gramEnd"/>
            <w:r w:rsidRPr="00BC5EFF">
              <w:t xml:space="preserve"> learnt session to determine areas which require improvement, implement efficiencies and better practice methods.</w:t>
            </w:r>
          </w:p>
        </w:tc>
        <w:tc>
          <w:tcPr>
            <w:tcW w:w="1843" w:type="dxa"/>
          </w:tcPr>
          <w:p w14:paraId="001E68EF" w14:textId="77777777" w:rsidR="00DF035A" w:rsidRPr="00BC5EFF" w:rsidRDefault="00DF035A" w:rsidP="00100A44">
            <w:pPr>
              <w:pStyle w:val="TableText"/>
            </w:pPr>
            <w:r w:rsidRPr="00BC5EFF">
              <w:t>Financial reporting team</w:t>
            </w:r>
          </w:p>
        </w:tc>
        <w:tc>
          <w:tcPr>
            <w:tcW w:w="1275" w:type="dxa"/>
          </w:tcPr>
          <w:p w14:paraId="29AC5046" w14:textId="77777777" w:rsidR="00DF035A" w:rsidRPr="00BC5EFF" w:rsidRDefault="00DF035A" w:rsidP="00100A44">
            <w:pPr>
              <w:pStyle w:val="TableText"/>
            </w:pPr>
            <w:r w:rsidRPr="00BC5EFF">
              <w:t>Complete</w:t>
            </w:r>
          </w:p>
        </w:tc>
      </w:tr>
      <w:tr w:rsidR="00DF035A" w:rsidRPr="00567373" w14:paraId="43120D8E" w14:textId="77777777" w:rsidTr="00100A44">
        <w:trPr>
          <w:trHeight w:val="733"/>
        </w:trPr>
        <w:tc>
          <w:tcPr>
            <w:tcW w:w="1980" w:type="dxa"/>
          </w:tcPr>
          <w:p w14:paraId="057848ED" w14:textId="77777777" w:rsidR="00DF035A" w:rsidRPr="00567373" w:rsidRDefault="00DF035A" w:rsidP="00100A44">
            <w:pPr>
              <w:pStyle w:val="TableHeading-Black"/>
              <w:rPr>
                <w:lang w:val="en-GB"/>
              </w:rPr>
            </w:pPr>
            <w:r>
              <w:t>November</w:t>
            </w:r>
          </w:p>
        </w:tc>
        <w:tc>
          <w:tcPr>
            <w:tcW w:w="3969" w:type="dxa"/>
          </w:tcPr>
          <w:p w14:paraId="72926304" w14:textId="77777777" w:rsidR="00DF035A" w:rsidRPr="00BC5EFF" w:rsidRDefault="00DF035A" w:rsidP="00100A44">
            <w:pPr>
              <w:pStyle w:val="TableText"/>
            </w:pPr>
            <w:r w:rsidRPr="00BC5EFF">
              <w:t>Implement OAG audit recommendations:</w:t>
            </w:r>
          </w:p>
          <w:p w14:paraId="74ED961F" w14:textId="77777777" w:rsidR="00DF035A" w:rsidRPr="00BC5EFF" w:rsidRDefault="00DF035A" w:rsidP="00100A44">
            <w:pPr>
              <w:pStyle w:val="TableText"/>
            </w:pPr>
            <w:r w:rsidRPr="00BC5EFF">
              <w:t>Implement any audit recommendations from final management letter/exit brief.</w:t>
            </w:r>
          </w:p>
        </w:tc>
        <w:tc>
          <w:tcPr>
            <w:tcW w:w="1843" w:type="dxa"/>
          </w:tcPr>
          <w:p w14:paraId="59A52543" w14:textId="77777777" w:rsidR="00DF035A" w:rsidRPr="00BC5EFF" w:rsidRDefault="00DF035A" w:rsidP="00100A44">
            <w:pPr>
              <w:pStyle w:val="TableText"/>
            </w:pPr>
            <w:r w:rsidRPr="00BC5EFF">
              <w:t>Financial reporting team, divisions, management</w:t>
            </w:r>
          </w:p>
        </w:tc>
        <w:tc>
          <w:tcPr>
            <w:tcW w:w="1275" w:type="dxa"/>
          </w:tcPr>
          <w:p w14:paraId="2F935AE0" w14:textId="77777777" w:rsidR="00DF035A" w:rsidRPr="00BC5EFF" w:rsidRDefault="00DF035A" w:rsidP="00100A44">
            <w:pPr>
              <w:pStyle w:val="TableText"/>
            </w:pPr>
            <w:r w:rsidRPr="00BC5EFF">
              <w:t>In progress</w:t>
            </w:r>
            <w:r w:rsidRPr="00BC5EFF">
              <w:br/>
            </w:r>
          </w:p>
        </w:tc>
      </w:tr>
      <w:tr w:rsidR="00DF035A" w:rsidRPr="00567373" w14:paraId="75F6B255" w14:textId="77777777" w:rsidTr="00100A44">
        <w:trPr>
          <w:trHeight w:val="443"/>
        </w:trPr>
        <w:tc>
          <w:tcPr>
            <w:tcW w:w="1980" w:type="dxa"/>
          </w:tcPr>
          <w:p w14:paraId="269ED3AF" w14:textId="77777777" w:rsidR="00DF035A" w:rsidRDefault="00DF035A" w:rsidP="00100A44">
            <w:pPr>
              <w:pStyle w:val="TableHeading-Black"/>
            </w:pPr>
            <w:r>
              <w:t>November /</w:t>
            </w:r>
          </w:p>
          <w:p w14:paraId="362BA4E9" w14:textId="77777777" w:rsidR="00DF035A" w:rsidRPr="00567373" w:rsidRDefault="00DF035A" w:rsidP="00100A44">
            <w:pPr>
              <w:pStyle w:val="TableHeading-Black"/>
              <w:rPr>
                <w:lang w:val="en-GB"/>
              </w:rPr>
            </w:pPr>
            <w:r>
              <w:t>December</w:t>
            </w:r>
          </w:p>
        </w:tc>
        <w:tc>
          <w:tcPr>
            <w:tcW w:w="3969" w:type="dxa"/>
          </w:tcPr>
          <w:p w14:paraId="43624B4C" w14:textId="77777777" w:rsidR="00DF035A" w:rsidRPr="00BC5EFF" w:rsidRDefault="00DF035A" w:rsidP="00100A44">
            <w:pPr>
              <w:pStyle w:val="TableText"/>
            </w:pPr>
            <w:r w:rsidRPr="00BC5EFF">
              <w:t>OAG</w:t>
            </w:r>
            <w:r>
              <w:t xml:space="preserve"> conduct audit planning.</w:t>
            </w:r>
            <w:r w:rsidRPr="00BC5EFF">
              <w:t xml:space="preserve"> </w:t>
            </w:r>
          </w:p>
        </w:tc>
        <w:tc>
          <w:tcPr>
            <w:tcW w:w="1843" w:type="dxa"/>
          </w:tcPr>
          <w:p w14:paraId="2CEF757B" w14:textId="77777777" w:rsidR="00DF035A" w:rsidRPr="00BC5EFF" w:rsidRDefault="00DF035A" w:rsidP="00100A44">
            <w:pPr>
              <w:pStyle w:val="TableText"/>
            </w:pPr>
            <w:r w:rsidRPr="00BC5EFF">
              <w:t>OAG</w:t>
            </w:r>
          </w:p>
        </w:tc>
        <w:tc>
          <w:tcPr>
            <w:tcW w:w="1275" w:type="dxa"/>
          </w:tcPr>
          <w:p w14:paraId="797AC579" w14:textId="77777777" w:rsidR="00DF035A" w:rsidRPr="00BC5EFF" w:rsidRDefault="00DF035A" w:rsidP="00100A44">
            <w:pPr>
              <w:pStyle w:val="TableText"/>
            </w:pPr>
            <w:r w:rsidRPr="00BC5EFF">
              <w:t>To be actioned</w:t>
            </w:r>
          </w:p>
        </w:tc>
      </w:tr>
      <w:tr w:rsidR="00DF035A" w:rsidRPr="00567373" w14:paraId="1F856CEC" w14:textId="77777777" w:rsidTr="00100A44">
        <w:trPr>
          <w:trHeight w:val="443"/>
        </w:trPr>
        <w:tc>
          <w:tcPr>
            <w:tcW w:w="1980" w:type="dxa"/>
          </w:tcPr>
          <w:p w14:paraId="14245EFE" w14:textId="77777777" w:rsidR="00DF035A" w:rsidRPr="00567373" w:rsidRDefault="00DF035A" w:rsidP="00100A44">
            <w:pPr>
              <w:pStyle w:val="TableHeading-Black"/>
              <w:rPr>
                <w:lang w:val="en-GB"/>
              </w:rPr>
            </w:pPr>
            <w:r w:rsidRPr="00A55AE3">
              <w:t>February</w:t>
            </w:r>
          </w:p>
        </w:tc>
        <w:tc>
          <w:tcPr>
            <w:tcW w:w="3969" w:type="dxa"/>
          </w:tcPr>
          <w:p w14:paraId="525CF058" w14:textId="77777777" w:rsidR="00DF035A" w:rsidRPr="00BC5EFF" w:rsidRDefault="00DF035A" w:rsidP="00100A44">
            <w:pPr>
              <w:pStyle w:val="TableText"/>
            </w:pPr>
            <w:r w:rsidRPr="00BC5EFF">
              <w:t>Stocktake</w:t>
            </w:r>
          </w:p>
          <w:p w14:paraId="527D310A" w14:textId="77777777" w:rsidR="00DF035A" w:rsidRPr="00BC5EFF" w:rsidRDefault="00DF035A" w:rsidP="00100A44">
            <w:pPr>
              <w:pStyle w:val="TableText"/>
            </w:pPr>
            <w:r w:rsidRPr="00BC5EFF">
              <w:t>Undertake the annual fixed asset and portable and attractive stocktake and valuation work.</w:t>
            </w:r>
          </w:p>
        </w:tc>
        <w:tc>
          <w:tcPr>
            <w:tcW w:w="1843" w:type="dxa"/>
          </w:tcPr>
          <w:p w14:paraId="27CF3B01" w14:textId="77777777" w:rsidR="00DF035A" w:rsidRPr="00BC5EFF" w:rsidRDefault="00DF035A" w:rsidP="00100A44">
            <w:pPr>
              <w:pStyle w:val="TableText"/>
            </w:pPr>
            <w:r w:rsidRPr="00BC5EFF">
              <w:t>Financial reporting team</w:t>
            </w:r>
            <w:r>
              <w:t xml:space="preserve"> and</w:t>
            </w:r>
            <w:r w:rsidRPr="00BC5EFF">
              <w:t xml:space="preserve"> finance officers </w:t>
            </w:r>
          </w:p>
        </w:tc>
        <w:tc>
          <w:tcPr>
            <w:tcW w:w="1275" w:type="dxa"/>
          </w:tcPr>
          <w:p w14:paraId="54175E31" w14:textId="77777777" w:rsidR="00DF035A" w:rsidRPr="00BC5EFF" w:rsidRDefault="00DF035A" w:rsidP="00100A44">
            <w:pPr>
              <w:pStyle w:val="TableText"/>
            </w:pPr>
            <w:r w:rsidRPr="00BC5EFF">
              <w:t>To be actioned</w:t>
            </w:r>
          </w:p>
        </w:tc>
      </w:tr>
      <w:tr w:rsidR="00DF035A" w:rsidRPr="00567373" w14:paraId="5A470320" w14:textId="77777777" w:rsidTr="00100A44">
        <w:trPr>
          <w:trHeight w:val="443"/>
        </w:trPr>
        <w:tc>
          <w:tcPr>
            <w:tcW w:w="1980" w:type="dxa"/>
          </w:tcPr>
          <w:p w14:paraId="5CB05B85" w14:textId="77777777" w:rsidR="00DF035A" w:rsidRPr="00567373" w:rsidRDefault="00DF035A" w:rsidP="00100A44">
            <w:pPr>
              <w:pStyle w:val="TableHeading-Black"/>
              <w:rPr>
                <w:lang w:val="en-GB"/>
              </w:rPr>
            </w:pPr>
            <w:r>
              <w:t>February</w:t>
            </w:r>
          </w:p>
        </w:tc>
        <w:tc>
          <w:tcPr>
            <w:tcW w:w="3969" w:type="dxa"/>
          </w:tcPr>
          <w:p w14:paraId="74B3E996" w14:textId="77777777" w:rsidR="00DF035A" w:rsidRPr="00BC5EFF" w:rsidRDefault="00DF035A" w:rsidP="00100A44">
            <w:pPr>
              <w:pStyle w:val="TableText"/>
            </w:pPr>
            <w:r w:rsidRPr="00BC5EFF">
              <w:t xml:space="preserve">Audit </w:t>
            </w:r>
            <w:r>
              <w:t>c</w:t>
            </w:r>
            <w:r w:rsidRPr="00BC5EFF">
              <w:t>ommittee</w:t>
            </w:r>
          </w:p>
          <w:p w14:paraId="35150B64" w14:textId="77777777" w:rsidR="00DF035A" w:rsidRPr="00BC5EFF" w:rsidRDefault="00DF035A" w:rsidP="00100A44">
            <w:pPr>
              <w:pStyle w:val="TableText"/>
            </w:pPr>
            <w:r w:rsidRPr="00BC5EFF">
              <w:t>First meeting for the year to agree on the financial statement timetable and key issues and risks.</w:t>
            </w:r>
          </w:p>
        </w:tc>
        <w:tc>
          <w:tcPr>
            <w:tcW w:w="1843" w:type="dxa"/>
          </w:tcPr>
          <w:p w14:paraId="0362C463" w14:textId="77777777" w:rsidR="00DF035A" w:rsidRPr="00BC5EFF" w:rsidRDefault="00DF035A" w:rsidP="00100A44">
            <w:pPr>
              <w:pStyle w:val="TableText"/>
            </w:pPr>
            <w:r w:rsidRPr="00BC5EFF">
              <w:t xml:space="preserve">CFO, director financial reporting, </w:t>
            </w:r>
            <w:r>
              <w:t>a</w:t>
            </w:r>
            <w:r w:rsidRPr="00BC5EFF">
              <w:t xml:space="preserve">udit </w:t>
            </w:r>
            <w:r>
              <w:t>c</w:t>
            </w:r>
            <w:r w:rsidRPr="00BC5EFF">
              <w:t>ommittee</w:t>
            </w:r>
          </w:p>
        </w:tc>
        <w:tc>
          <w:tcPr>
            <w:tcW w:w="1275" w:type="dxa"/>
          </w:tcPr>
          <w:p w14:paraId="7F14C142" w14:textId="77777777" w:rsidR="00DF035A" w:rsidRPr="00BC5EFF" w:rsidRDefault="00DF035A" w:rsidP="00100A44">
            <w:pPr>
              <w:pStyle w:val="TableText"/>
            </w:pPr>
            <w:r w:rsidRPr="00BC5EFF">
              <w:t xml:space="preserve">To be actioned   </w:t>
            </w:r>
          </w:p>
        </w:tc>
      </w:tr>
      <w:tr w:rsidR="00DF035A" w:rsidRPr="00567373" w14:paraId="3B250C67" w14:textId="77777777" w:rsidTr="00100A44">
        <w:trPr>
          <w:trHeight w:val="443"/>
        </w:trPr>
        <w:tc>
          <w:tcPr>
            <w:tcW w:w="1980" w:type="dxa"/>
          </w:tcPr>
          <w:p w14:paraId="714FD018" w14:textId="77777777" w:rsidR="00DF035A" w:rsidRPr="00567373" w:rsidRDefault="00DF035A" w:rsidP="00100A44">
            <w:pPr>
              <w:pStyle w:val="TableHeading-Black"/>
              <w:rPr>
                <w:lang w:val="en-GB"/>
              </w:rPr>
            </w:pPr>
            <w:r>
              <w:t>March to June</w:t>
            </w:r>
            <w:r>
              <w:br/>
            </w:r>
          </w:p>
        </w:tc>
        <w:tc>
          <w:tcPr>
            <w:tcW w:w="3969" w:type="dxa"/>
          </w:tcPr>
          <w:p w14:paraId="1DEF1105" w14:textId="77777777" w:rsidR="00DF035A" w:rsidRPr="00BC5EFF" w:rsidRDefault="00DF035A" w:rsidP="00100A44">
            <w:pPr>
              <w:pStyle w:val="TableText"/>
            </w:pPr>
            <w:r w:rsidRPr="00BC5EFF">
              <w:t>OAG</w:t>
            </w:r>
            <w:r>
              <w:t xml:space="preserve"> conduct</w:t>
            </w:r>
            <w:r w:rsidRPr="00BC5EFF">
              <w:t xml:space="preserve"> interim audit work</w:t>
            </w:r>
            <w:r>
              <w:t>.</w:t>
            </w:r>
          </w:p>
          <w:p w14:paraId="776CC0A8" w14:textId="77777777" w:rsidR="00DF035A" w:rsidRPr="00BC5EFF" w:rsidRDefault="00DF035A" w:rsidP="00100A44">
            <w:pPr>
              <w:pStyle w:val="Bullet1"/>
              <w:numPr>
                <w:ilvl w:val="0"/>
                <w:numId w:val="0"/>
              </w:numPr>
              <w:ind w:left="851"/>
            </w:pPr>
          </w:p>
        </w:tc>
        <w:tc>
          <w:tcPr>
            <w:tcW w:w="1843" w:type="dxa"/>
          </w:tcPr>
          <w:p w14:paraId="2227F70D" w14:textId="77777777" w:rsidR="00DF035A" w:rsidRPr="00BC5EFF" w:rsidRDefault="00DF035A" w:rsidP="00100A44">
            <w:pPr>
              <w:pStyle w:val="TableText"/>
            </w:pPr>
            <w:r w:rsidRPr="00BC5EFF">
              <w:t>OAG</w:t>
            </w:r>
          </w:p>
        </w:tc>
        <w:tc>
          <w:tcPr>
            <w:tcW w:w="1275" w:type="dxa"/>
          </w:tcPr>
          <w:p w14:paraId="723D77AD" w14:textId="77777777" w:rsidR="00DF035A" w:rsidRPr="00BC5EFF" w:rsidRDefault="00DF035A" w:rsidP="00100A44">
            <w:pPr>
              <w:pStyle w:val="TableText"/>
            </w:pPr>
            <w:r w:rsidRPr="00BC5EFF">
              <w:t>To be actioned</w:t>
            </w:r>
          </w:p>
        </w:tc>
      </w:tr>
      <w:tr w:rsidR="00DF035A" w:rsidRPr="00567373" w14:paraId="0B69B929" w14:textId="77777777" w:rsidTr="00100A44">
        <w:trPr>
          <w:trHeight w:val="443"/>
        </w:trPr>
        <w:tc>
          <w:tcPr>
            <w:tcW w:w="1980" w:type="dxa"/>
          </w:tcPr>
          <w:p w14:paraId="17599C45" w14:textId="77777777" w:rsidR="00DF035A" w:rsidRPr="00567373" w:rsidRDefault="00DF035A" w:rsidP="00100A44">
            <w:pPr>
              <w:pStyle w:val="TableHeading-Black"/>
              <w:rPr>
                <w:w w:val="105"/>
                <w:lang w:val="en-GB"/>
              </w:rPr>
            </w:pPr>
            <w:r>
              <w:t>March</w:t>
            </w:r>
          </w:p>
        </w:tc>
        <w:tc>
          <w:tcPr>
            <w:tcW w:w="3969" w:type="dxa"/>
          </w:tcPr>
          <w:p w14:paraId="63CCB62A" w14:textId="77777777" w:rsidR="00DF035A" w:rsidRPr="00BC5EFF" w:rsidRDefault="00DF035A" w:rsidP="00100A44">
            <w:pPr>
              <w:pStyle w:val="TableText"/>
            </w:pPr>
            <w:r w:rsidRPr="00BC5EFF">
              <w:t xml:space="preserve">Accounting </w:t>
            </w:r>
            <w:r>
              <w:t>s</w:t>
            </w:r>
            <w:r w:rsidRPr="00BC5EFF">
              <w:t xml:space="preserve">tandards and legislative rule </w:t>
            </w:r>
            <w:r>
              <w:t>c</w:t>
            </w:r>
            <w:r w:rsidRPr="00BC5EFF">
              <w:t>hanges</w:t>
            </w:r>
          </w:p>
          <w:p w14:paraId="3F7564D1" w14:textId="77777777" w:rsidR="00DF035A" w:rsidRPr="00BC5EFF" w:rsidRDefault="00DF035A" w:rsidP="00100A44">
            <w:pPr>
              <w:pStyle w:val="TableText"/>
            </w:pPr>
            <w:r w:rsidRPr="00BC5EFF">
              <w:t>Review changes to AAS to assess the impacts on the financial statements for the coming years.</w:t>
            </w:r>
          </w:p>
          <w:p w14:paraId="15A96D8F" w14:textId="77777777" w:rsidR="00DF035A" w:rsidRPr="00BC5EFF" w:rsidRDefault="00DF035A" w:rsidP="00100A44">
            <w:pPr>
              <w:pStyle w:val="TableText"/>
            </w:pPr>
            <w:r w:rsidRPr="00BC5EFF">
              <w:t>Review changes to the FM</w:t>
            </w:r>
            <w:r>
              <w:t xml:space="preserve"> </w:t>
            </w:r>
            <w:r w:rsidRPr="00BC5EFF">
              <w:t>A</w:t>
            </w:r>
            <w:r>
              <w:t>ct</w:t>
            </w:r>
            <w:r w:rsidRPr="00BC5EFF">
              <w:t>, TIs/ LG</w:t>
            </w:r>
            <w:r>
              <w:t xml:space="preserve"> </w:t>
            </w:r>
            <w:r w:rsidRPr="00BC5EFF">
              <w:t>A</w:t>
            </w:r>
            <w:r>
              <w:t>ct</w:t>
            </w:r>
            <w:r w:rsidRPr="00BC5EFF">
              <w:t xml:space="preserve"> </w:t>
            </w:r>
            <w:r>
              <w:t>and</w:t>
            </w:r>
            <w:r w:rsidRPr="00BC5EFF">
              <w:t xml:space="preserve"> LG Regs to assess the impacts on the entity’s financial statements for the coming years.</w:t>
            </w:r>
          </w:p>
        </w:tc>
        <w:tc>
          <w:tcPr>
            <w:tcW w:w="1843" w:type="dxa"/>
          </w:tcPr>
          <w:p w14:paraId="1FDCD34E" w14:textId="77777777" w:rsidR="00DF035A" w:rsidRPr="00BC5EFF" w:rsidRDefault="00DF035A" w:rsidP="00100A44">
            <w:pPr>
              <w:pStyle w:val="TableText"/>
            </w:pPr>
            <w:r w:rsidRPr="00BC5EFF">
              <w:t>Financial reporting team</w:t>
            </w:r>
          </w:p>
        </w:tc>
        <w:tc>
          <w:tcPr>
            <w:tcW w:w="1275" w:type="dxa"/>
          </w:tcPr>
          <w:p w14:paraId="75A30E55" w14:textId="77777777" w:rsidR="00DF035A" w:rsidRPr="00BC5EFF" w:rsidRDefault="00DF035A" w:rsidP="00100A44">
            <w:pPr>
              <w:pStyle w:val="TableText"/>
            </w:pPr>
            <w:r w:rsidRPr="00BC5EFF">
              <w:t>To be actioned</w:t>
            </w:r>
          </w:p>
        </w:tc>
      </w:tr>
      <w:tr w:rsidR="00DF035A" w:rsidRPr="00567373" w14:paraId="18ED42D7" w14:textId="77777777" w:rsidTr="00100A44">
        <w:trPr>
          <w:trHeight w:val="443"/>
        </w:trPr>
        <w:tc>
          <w:tcPr>
            <w:tcW w:w="1980" w:type="dxa"/>
          </w:tcPr>
          <w:p w14:paraId="71F10B1F" w14:textId="77777777" w:rsidR="00DF035A" w:rsidRDefault="00DF035A" w:rsidP="00100A44">
            <w:pPr>
              <w:pStyle w:val="TableHeading-Black"/>
            </w:pPr>
            <w:r w:rsidRPr="009A3157">
              <w:t>Ma</w:t>
            </w:r>
            <w:r>
              <w:t>rch</w:t>
            </w:r>
          </w:p>
        </w:tc>
        <w:tc>
          <w:tcPr>
            <w:tcW w:w="3969" w:type="dxa"/>
          </w:tcPr>
          <w:p w14:paraId="47448B10" w14:textId="77777777" w:rsidR="00DF035A" w:rsidRPr="00BC5EFF" w:rsidRDefault="00DF035A" w:rsidP="00100A44">
            <w:pPr>
              <w:pStyle w:val="TableText"/>
            </w:pPr>
            <w:r w:rsidRPr="00BC5EFF">
              <w:t>Position/issues papers</w:t>
            </w:r>
          </w:p>
          <w:p w14:paraId="2B97C6BF" w14:textId="77777777" w:rsidR="00DF035A" w:rsidRPr="00BC5EFF" w:rsidRDefault="00DF035A" w:rsidP="00100A44">
            <w:pPr>
              <w:pStyle w:val="TableText"/>
            </w:pPr>
            <w:r w:rsidRPr="00BC5EFF">
              <w:t>Prepare position/issues papers for consultation and agreement with the OAG covering any issues arising from the interim.</w:t>
            </w:r>
          </w:p>
        </w:tc>
        <w:tc>
          <w:tcPr>
            <w:tcW w:w="1843" w:type="dxa"/>
          </w:tcPr>
          <w:p w14:paraId="78B0505F" w14:textId="77777777" w:rsidR="00DF035A" w:rsidRPr="00BC5EFF" w:rsidRDefault="00DF035A" w:rsidP="00100A44">
            <w:pPr>
              <w:pStyle w:val="TableText"/>
            </w:pPr>
            <w:r w:rsidRPr="00BC5EFF">
              <w:t xml:space="preserve">Financial reporting team, </w:t>
            </w:r>
            <w:r>
              <w:t>m</w:t>
            </w:r>
            <w:r w:rsidRPr="00BC5EFF">
              <w:t>anagement</w:t>
            </w:r>
          </w:p>
        </w:tc>
        <w:tc>
          <w:tcPr>
            <w:tcW w:w="1275" w:type="dxa"/>
          </w:tcPr>
          <w:p w14:paraId="1F083530" w14:textId="77777777" w:rsidR="00DF035A" w:rsidRPr="00BC5EFF" w:rsidRDefault="00DF035A" w:rsidP="00100A44">
            <w:pPr>
              <w:pStyle w:val="TableText"/>
            </w:pPr>
            <w:r w:rsidRPr="00BC5EFF">
              <w:t>To be actioned</w:t>
            </w:r>
          </w:p>
        </w:tc>
      </w:tr>
      <w:tr w:rsidR="00DF035A" w:rsidRPr="00567373" w14:paraId="09A597B9" w14:textId="77777777" w:rsidTr="00100A44">
        <w:trPr>
          <w:trHeight w:val="443"/>
        </w:trPr>
        <w:tc>
          <w:tcPr>
            <w:tcW w:w="1980" w:type="dxa"/>
          </w:tcPr>
          <w:p w14:paraId="6129E1C2" w14:textId="77777777" w:rsidR="00DF035A" w:rsidRPr="00567373" w:rsidRDefault="00DF035A" w:rsidP="00100A44">
            <w:pPr>
              <w:pStyle w:val="TableHeading-Black"/>
              <w:rPr>
                <w:w w:val="105"/>
                <w:lang w:val="en-GB"/>
              </w:rPr>
            </w:pPr>
            <w:r w:rsidRPr="00CB6270">
              <w:t>March</w:t>
            </w:r>
          </w:p>
        </w:tc>
        <w:tc>
          <w:tcPr>
            <w:tcW w:w="3969" w:type="dxa"/>
          </w:tcPr>
          <w:p w14:paraId="1EC6BD66" w14:textId="77777777" w:rsidR="00DF035A" w:rsidRPr="00BC5EFF" w:rsidRDefault="00DF035A" w:rsidP="00100A44">
            <w:pPr>
              <w:pStyle w:val="TableText"/>
            </w:pPr>
            <w:r w:rsidRPr="00BC5EFF">
              <w:t>Pro-forma financial statement draft</w:t>
            </w:r>
          </w:p>
          <w:p w14:paraId="495CB770" w14:textId="77777777" w:rsidR="00DF035A" w:rsidRPr="00BC5EFF" w:rsidRDefault="00DF035A" w:rsidP="00100A44">
            <w:pPr>
              <w:pStyle w:val="TableText"/>
            </w:pPr>
            <w:r w:rsidRPr="00BC5EFF">
              <w:t xml:space="preserve">Review changes to Treasury’s </w:t>
            </w:r>
            <w:r>
              <w:t>F</w:t>
            </w:r>
            <w:r w:rsidRPr="00BC5EFF">
              <w:t xml:space="preserve">inancial </w:t>
            </w:r>
            <w:r>
              <w:t>A</w:t>
            </w:r>
            <w:r w:rsidRPr="00BC5EFF">
              <w:t xml:space="preserve">dministration </w:t>
            </w:r>
            <w:r>
              <w:t>B</w:t>
            </w:r>
            <w:r w:rsidRPr="00BC5EFF">
              <w:t>ookcase</w:t>
            </w:r>
            <w:r>
              <w:t>/LG Regs</w:t>
            </w:r>
            <w:r w:rsidRPr="00BC5EFF">
              <w:t xml:space="preserve"> to assess the impacts on the entity’s financial statements for the coming years.</w:t>
            </w:r>
          </w:p>
        </w:tc>
        <w:tc>
          <w:tcPr>
            <w:tcW w:w="1843" w:type="dxa"/>
          </w:tcPr>
          <w:p w14:paraId="04F6252C" w14:textId="77777777" w:rsidR="00DF035A" w:rsidRPr="00BC5EFF" w:rsidRDefault="00DF035A" w:rsidP="00100A44">
            <w:pPr>
              <w:pStyle w:val="TableText"/>
            </w:pPr>
            <w:r w:rsidRPr="00BC5EFF">
              <w:t>Financial reporting team</w:t>
            </w:r>
          </w:p>
        </w:tc>
        <w:tc>
          <w:tcPr>
            <w:tcW w:w="1275" w:type="dxa"/>
          </w:tcPr>
          <w:p w14:paraId="71FCC885" w14:textId="77777777" w:rsidR="00DF035A" w:rsidRPr="00BC5EFF" w:rsidRDefault="00DF035A" w:rsidP="00100A44">
            <w:pPr>
              <w:pStyle w:val="TableText"/>
            </w:pPr>
            <w:r w:rsidRPr="00BC5EFF">
              <w:t>To be actioned</w:t>
            </w:r>
          </w:p>
        </w:tc>
      </w:tr>
      <w:tr w:rsidR="00DF035A" w:rsidRPr="00567373" w14:paraId="3E5C7A81" w14:textId="77777777" w:rsidTr="00100A44">
        <w:trPr>
          <w:trHeight w:val="443"/>
        </w:trPr>
        <w:tc>
          <w:tcPr>
            <w:tcW w:w="1980" w:type="dxa"/>
          </w:tcPr>
          <w:p w14:paraId="30BA3BFF" w14:textId="77777777" w:rsidR="00DF035A" w:rsidRPr="00567373" w:rsidRDefault="00DF035A" w:rsidP="00100A44">
            <w:pPr>
              <w:pStyle w:val="TableHeading-Black"/>
              <w:rPr>
                <w:w w:val="105"/>
                <w:lang w:val="en-GB"/>
              </w:rPr>
            </w:pPr>
            <w:r>
              <w:t>March</w:t>
            </w:r>
            <w:r w:rsidRPr="009A3157">
              <w:t>/</w:t>
            </w:r>
            <w:r>
              <w:t>April</w:t>
            </w:r>
          </w:p>
        </w:tc>
        <w:tc>
          <w:tcPr>
            <w:tcW w:w="3969" w:type="dxa"/>
          </w:tcPr>
          <w:p w14:paraId="739C6A6B" w14:textId="77777777" w:rsidR="00DF035A" w:rsidRPr="00BC5EFF" w:rsidRDefault="00DF035A" w:rsidP="00100A44">
            <w:pPr>
              <w:pStyle w:val="TableText"/>
            </w:pPr>
            <w:r w:rsidRPr="00BC5EFF">
              <w:t xml:space="preserve">Asset valuation </w:t>
            </w:r>
          </w:p>
          <w:p w14:paraId="52AB8155" w14:textId="77777777" w:rsidR="00DF035A" w:rsidRPr="00BC5EFF" w:rsidRDefault="00DF035A" w:rsidP="00100A44">
            <w:pPr>
              <w:pStyle w:val="TableText"/>
            </w:pPr>
            <w:r w:rsidRPr="00BC5EFF">
              <w:t xml:space="preserve">Finalise the stocktake and update asset register for results and revaluation. </w:t>
            </w:r>
          </w:p>
        </w:tc>
        <w:tc>
          <w:tcPr>
            <w:tcW w:w="1843" w:type="dxa"/>
          </w:tcPr>
          <w:p w14:paraId="188D7A77" w14:textId="77777777" w:rsidR="00DF035A" w:rsidRPr="00BC5EFF" w:rsidRDefault="00DF035A" w:rsidP="00100A44">
            <w:pPr>
              <w:pStyle w:val="TableText"/>
            </w:pPr>
            <w:r w:rsidRPr="00BC5EFF">
              <w:t>Financial reporting team and valuation expert</w:t>
            </w:r>
          </w:p>
        </w:tc>
        <w:tc>
          <w:tcPr>
            <w:tcW w:w="1275" w:type="dxa"/>
          </w:tcPr>
          <w:p w14:paraId="069FDFE1" w14:textId="77777777" w:rsidR="00DF035A" w:rsidRPr="00BC5EFF" w:rsidRDefault="00DF035A" w:rsidP="00100A44">
            <w:pPr>
              <w:pStyle w:val="TableText"/>
            </w:pPr>
            <w:r w:rsidRPr="00BC5EFF">
              <w:t>To be actioned</w:t>
            </w:r>
          </w:p>
        </w:tc>
      </w:tr>
      <w:tr w:rsidR="00DF035A" w:rsidRPr="00567373" w14:paraId="3DD74F0B" w14:textId="77777777" w:rsidTr="00100A44">
        <w:trPr>
          <w:trHeight w:val="733"/>
        </w:trPr>
        <w:tc>
          <w:tcPr>
            <w:tcW w:w="1980" w:type="dxa"/>
          </w:tcPr>
          <w:p w14:paraId="7CD47071" w14:textId="77777777" w:rsidR="00DF035A" w:rsidRPr="00567373" w:rsidRDefault="00DF035A" w:rsidP="00100A44">
            <w:pPr>
              <w:pStyle w:val="TableHeading-Black"/>
              <w:rPr>
                <w:w w:val="105"/>
                <w:lang w:val="en-GB"/>
              </w:rPr>
            </w:pPr>
            <w:r>
              <w:lastRenderedPageBreak/>
              <w:t>April</w:t>
            </w:r>
          </w:p>
        </w:tc>
        <w:tc>
          <w:tcPr>
            <w:tcW w:w="3969" w:type="dxa"/>
          </w:tcPr>
          <w:p w14:paraId="7CEA871F" w14:textId="77777777" w:rsidR="00DF035A" w:rsidRPr="00BC5EFF" w:rsidRDefault="00DF035A" w:rsidP="00100A44">
            <w:pPr>
              <w:pStyle w:val="TableText"/>
            </w:pPr>
            <w:r w:rsidRPr="00BC5EFF">
              <w:t>Update the accounting policy manual</w:t>
            </w:r>
          </w:p>
          <w:p w14:paraId="4C4EBC01" w14:textId="77777777" w:rsidR="00DF035A" w:rsidRPr="00BC5EFF" w:rsidRDefault="00DF035A" w:rsidP="00100A44">
            <w:pPr>
              <w:pStyle w:val="TableText"/>
            </w:pPr>
            <w:r w:rsidRPr="00BC5EFF">
              <w:t>Incorporate the changes to the AAS</w:t>
            </w:r>
            <w:r>
              <w:t xml:space="preserve"> and</w:t>
            </w:r>
            <w:r w:rsidRPr="00BC5EFF">
              <w:t xml:space="preserve"> legislative rules into the accounting policy manual.</w:t>
            </w:r>
          </w:p>
        </w:tc>
        <w:tc>
          <w:tcPr>
            <w:tcW w:w="1843" w:type="dxa"/>
          </w:tcPr>
          <w:p w14:paraId="038F4311" w14:textId="77777777" w:rsidR="00DF035A" w:rsidRPr="00BC5EFF" w:rsidRDefault="00DF035A" w:rsidP="00100A44">
            <w:pPr>
              <w:pStyle w:val="TableText"/>
            </w:pPr>
            <w:r w:rsidRPr="00BC5EFF">
              <w:t>Financial reporting team</w:t>
            </w:r>
          </w:p>
        </w:tc>
        <w:tc>
          <w:tcPr>
            <w:tcW w:w="1275" w:type="dxa"/>
          </w:tcPr>
          <w:p w14:paraId="2A0C8858" w14:textId="77777777" w:rsidR="00DF035A" w:rsidRPr="00BC5EFF" w:rsidRDefault="00DF035A" w:rsidP="00100A44">
            <w:pPr>
              <w:pStyle w:val="TableText"/>
            </w:pPr>
            <w:r w:rsidRPr="00BC5EFF">
              <w:t>To be actioned</w:t>
            </w:r>
          </w:p>
        </w:tc>
      </w:tr>
      <w:tr w:rsidR="00DF035A" w:rsidRPr="00567373" w14:paraId="41440DCB" w14:textId="77777777" w:rsidTr="00100A44">
        <w:trPr>
          <w:trHeight w:val="443"/>
        </w:trPr>
        <w:tc>
          <w:tcPr>
            <w:tcW w:w="1980" w:type="dxa"/>
          </w:tcPr>
          <w:p w14:paraId="08001FE2" w14:textId="77777777" w:rsidR="00DF035A" w:rsidRDefault="00DF035A" w:rsidP="00100A44">
            <w:pPr>
              <w:pStyle w:val="TableHeading-Black"/>
            </w:pPr>
            <w:r>
              <w:t>June</w:t>
            </w:r>
          </w:p>
          <w:p w14:paraId="07D3CE23" w14:textId="77777777" w:rsidR="00DF035A" w:rsidRPr="00567373" w:rsidRDefault="00DF035A" w:rsidP="00100A44">
            <w:pPr>
              <w:pStyle w:val="TableHeading-Black"/>
              <w:rPr>
                <w:w w:val="105"/>
                <w:lang w:val="en-GB"/>
              </w:rPr>
            </w:pPr>
          </w:p>
        </w:tc>
        <w:tc>
          <w:tcPr>
            <w:tcW w:w="3969" w:type="dxa"/>
          </w:tcPr>
          <w:p w14:paraId="6397CE8F" w14:textId="77777777" w:rsidR="00DF035A" w:rsidRPr="00BC5EFF" w:rsidRDefault="00DF035A" w:rsidP="00100A44">
            <w:pPr>
              <w:pStyle w:val="TableText"/>
            </w:pPr>
            <w:r w:rsidRPr="00BC5EFF">
              <w:t xml:space="preserve">Audit </w:t>
            </w:r>
            <w:r>
              <w:t>c</w:t>
            </w:r>
            <w:r w:rsidRPr="00BC5EFF">
              <w:t xml:space="preserve">ommittee </w:t>
            </w:r>
            <w:r w:rsidRPr="00BC5EFF">
              <w:br/>
              <w:t>Discuss the results of interim audit, agree appropriate treatment of any accounting issues that have been identified.</w:t>
            </w:r>
          </w:p>
        </w:tc>
        <w:tc>
          <w:tcPr>
            <w:tcW w:w="1843" w:type="dxa"/>
          </w:tcPr>
          <w:p w14:paraId="51DC267B" w14:textId="77777777" w:rsidR="00DF035A" w:rsidRPr="00BC5EFF" w:rsidRDefault="00DF035A" w:rsidP="00100A44">
            <w:pPr>
              <w:pStyle w:val="TableText"/>
            </w:pPr>
            <w:r w:rsidRPr="00BC5EFF">
              <w:t xml:space="preserve">CFO, director financial reporting, </w:t>
            </w:r>
            <w:r>
              <w:t>a</w:t>
            </w:r>
            <w:r w:rsidRPr="00BC5EFF">
              <w:t xml:space="preserve">udit </w:t>
            </w:r>
            <w:r>
              <w:t>c</w:t>
            </w:r>
            <w:r w:rsidRPr="00BC5EFF">
              <w:t>ommittee</w:t>
            </w:r>
          </w:p>
        </w:tc>
        <w:tc>
          <w:tcPr>
            <w:tcW w:w="1275" w:type="dxa"/>
          </w:tcPr>
          <w:p w14:paraId="05BD110F" w14:textId="77777777" w:rsidR="00DF035A" w:rsidRPr="00BC5EFF" w:rsidRDefault="00DF035A" w:rsidP="00100A44">
            <w:pPr>
              <w:pStyle w:val="TableText"/>
            </w:pPr>
            <w:r w:rsidRPr="00BC5EFF">
              <w:t>To be actioned</w:t>
            </w:r>
          </w:p>
        </w:tc>
      </w:tr>
      <w:tr w:rsidR="00DF035A" w:rsidRPr="00567373" w14:paraId="2E90B9F3" w14:textId="77777777" w:rsidTr="00100A44">
        <w:trPr>
          <w:trHeight w:val="733"/>
        </w:trPr>
        <w:tc>
          <w:tcPr>
            <w:tcW w:w="1980" w:type="dxa"/>
          </w:tcPr>
          <w:p w14:paraId="6AD1F810" w14:textId="77777777" w:rsidR="00DF035A" w:rsidRPr="00567373" w:rsidRDefault="00DF035A" w:rsidP="00100A44">
            <w:pPr>
              <w:pStyle w:val="TableHeading-Black"/>
              <w:rPr>
                <w:w w:val="105"/>
                <w:lang w:val="en-GB"/>
              </w:rPr>
            </w:pPr>
            <w:r w:rsidRPr="009A3157">
              <w:t>June</w:t>
            </w:r>
          </w:p>
        </w:tc>
        <w:tc>
          <w:tcPr>
            <w:tcW w:w="3969" w:type="dxa"/>
          </w:tcPr>
          <w:p w14:paraId="14267D6B" w14:textId="77777777" w:rsidR="00DF035A" w:rsidRPr="00BC5EFF" w:rsidRDefault="00DF035A" w:rsidP="00100A44">
            <w:pPr>
              <w:pStyle w:val="TableText"/>
            </w:pPr>
            <w:r w:rsidRPr="00BC5EFF">
              <w:t>Develop a timetable for year-end close</w:t>
            </w:r>
            <w:r>
              <w:t xml:space="preserve"> </w:t>
            </w:r>
            <w:r w:rsidRPr="00BC5EFF">
              <w:t>based on CFO time requirements.</w:t>
            </w:r>
          </w:p>
        </w:tc>
        <w:tc>
          <w:tcPr>
            <w:tcW w:w="1843" w:type="dxa"/>
          </w:tcPr>
          <w:p w14:paraId="23A6323D" w14:textId="77777777" w:rsidR="00DF035A" w:rsidRPr="00BC5EFF" w:rsidRDefault="00DF035A" w:rsidP="00100A44">
            <w:pPr>
              <w:pStyle w:val="TableText"/>
            </w:pPr>
            <w:r w:rsidRPr="00BC5EFF">
              <w:t>Financial reporting team</w:t>
            </w:r>
          </w:p>
        </w:tc>
        <w:tc>
          <w:tcPr>
            <w:tcW w:w="1275" w:type="dxa"/>
          </w:tcPr>
          <w:p w14:paraId="39E202C3" w14:textId="77777777" w:rsidR="00DF035A" w:rsidRPr="00BC5EFF" w:rsidRDefault="00DF035A" w:rsidP="00100A44">
            <w:pPr>
              <w:pStyle w:val="TableText"/>
            </w:pPr>
            <w:r w:rsidRPr="00BC5EFF">
              <w:t>To be actioned</w:t>
            </w:r>
          </w:p>
        </w:tc>
      </w:tr>
      <w:tr w:rsidR="00DF035A" w:rsidRPr="00567373" w14:paraId="127C1EE7" w14:textId="77777777" w:rsidTr="00100A44">
        <w:trPr>
          <w:trHeight w:val="733"/>
        </w:trPr>
        <w:tc>
          <w:tcPr>
            <w:tcW w:w="1980" w:type="dxa"/>
          </w:tcPr>
          <w:p w14:paraId="013A6138" w14:textId="77777777" w:rsidR="00DF035A" w:rsidRPr="00567373" w:rsidRDefault="00DF035A" w:rsidP="00100A44">
            <w:pPr>
              <w:pStyle w:val="TableHeading-Black"/>
              <w:rPr>
                <w:lang w:val="en-GB"/>
              </w:rPr>
            </w:pPr>
            <w:r w:rsidRPr="009A3157">
              <w:t>June</w:t>
            </w:r>
          </w:p>
        </w:tc>
        <w:tc>
          <w:tcPr>
            <w:tcW w:w="3969" w:type="dxa"/>
          </w:tcPr>
          <w:p w14:paraId="37B04ED3" w14:textId="77777777" w:rsidR="00DF035A" w:rsidRPr="00BC5EFF" w:rsidRDefault="00DF035A" w:rsidP="00100A44">
            <w:pPr>
              <w:pStyle w:val="TableText"/>
            </w:pPr>
            <w:r w:rsidRPr="00BC5EFF">
              <w:t>Prepare for end of year</w:t>
            </w:r>
          </w:p>
          <w:p w14:paraId="01CCD850" w14:textId="77777777" w:rsidR="00DF035A" w:rsidRPr="00BC5EFF" w:rsidRDefault="00DF035A" w:rsidP="00100A44">
            <w:pPr>
              <w:pStyle w:val="TableText"/>
            </w:pPr>
            <w:r w:rsidRPr="00BC5EFF">
              <w:t>Organise reports, contracts etc. which will be incorporated into or used in the preparation of the year-end financial statements.</w:t>
            </w:r>
          </w:p>
        </w:tc>
        <w:tc>
          <w:tcPr>
            <w:tcW w:w="1843" w:type="dxa"/>
          </w:tcPr>
          <w:p w14:paraId="2A9323F8" w14:textId="77777777" w:rsidR="00DF035A" w:rsidRPr="00BC5EFF" w:rsidRDefault="00DF035A" w:rsidP="00100A44">
            <w:pPr>
              <w:pStyle w:val="TableText"/>
            </w:pPr>
            <w:r w:rsidRPr="00BC5EFF">
              <w:t>Financial reporting team, human resources team, divisions, legal team</w:t>
            </w:r>
          </w:p>
        </w:tc>
        <w:tc>
          <w:tcPr>
            <w:tcW w:w="1275" w:type="dxa"/>
          </w:tcPr>
          <w:p w14:paraId="69D7AFB2" w14:textId="77777777" w:rsidR="00DF035A" w:rsidRPr="00BC5EFF" w:rsidRDefault="00DF035A" w:rsidP="00100A44">
            <w:pPr>
              <w:pStyle w:val="TableText"/>
            </w:pPr>
            <w:r w:rsidRPr="00BC5EFF">
              <w:t>To be actioned</w:t>
            </w:r>
          </w:p>
        </w:tc>
      </w:tr>
      <w:tr w:rsidR="00DF035A" w:rsidRPr="00567373" w14:paraId="788560F6" w14:textId="77777777" w:rsidTr="00100A44">
        <w:trPr>
          <w:trHeight w:val="733"/>
        </w:trPr>
        <w:tc>
          <w:tcPr>
            <w:tcW w:w="1980" w:type="dxa"/>
          </w:tcPr>
          <w:p w14:paraId="3EBA3239" w14:textId="77777777" w:rsidR="00DF035A" w:rsidRPr="00567373" w:rsidRDefault="00DF035A" w:rsidP="00100A44">
            <w:pPr>
              <w:pStyle w:val="TableHeading-Black"/>
              <w:rPr>
                <w:lang w:val="en-GB"/>
              </w:rPr>
            </w:pPr>
            <w:r w:rsidRPr="009A3157">
              <w:t>July</w:t>
            </w:r>
          </w:p>
        </w:tc>
        <w:tc>
          <w:tcPr>
            <w:tcW w:w="3969" w:type="dxa"/>
          </w:tcPr>
          <w:p w14:paraId="0825984A" w14:textId="77777777" w:rsidR="00DF035A" w:rsidRPr="00BC5EFF" w:rsidRDefault="00DF035A" w:rsidP="00100A44">
            <w:pPr>
              <w:pStyle w:val="TableText"/>
            </w:pPr>
            <w:r w:rsidRPr="00BC5EFF">
              <w:t>Prepare outstanding position papers</w:t>
            </w:r>
          </w:p>
          <w:p w14:paraId="255011B9" w14:textId="77777777" w:rsidR="00DF035A" w:rsidRPr="00BC5EFF" w:rsidRDefault="00DF035A" w:rsidP="00100A44">
            <w:pPr>
              <w:pStyle w:val="TableText"/>
            </w:pPr>
            <w:r w:rsidRPr="00BC5EFF">
              <w:t>Prepare position/issues papers for consultation and agreement with the OAG covering any issues arising since the interim.</w:t>
            </w:r>
          </w:p>
        </w:tc>
        <w:tc>
          <w:tcPr>
            <w:tcW w:w="1843" w:type="dxa"/>
          </w:tcPr>
          <w:p w14:paraId="0BC49A96" w14:textId="77777777" w:rsidR="00DF035A" w:rsidRPr="00BC5EFF" w:rsidRDefault="00DF035A" w:rsidP="00100A44">
            <w:pPr>
              <w:pStyle w:val="TableText"/>
            </w:pPr>
            <w:r w:rsidRPr="00BC5EFF">
              <w:t>Financial reporting team</w:t>
            </w:r>
          </w:p>
        </w:tc>
        <w:tc>
          <w:tcPr>
            <w:tcW w:w="1275" w:type="dxa"/>
          </w:tcPr>
          <w:p w14:paraId="106B1EB3" w14:textId="77777777" w:rsidR="00DF035A" w:rsidRPr="00BC5EFF" w:rsidRDefault="00DF035A" w:rsidP="00100A44">
            <w:pPr>
              <w:pStyle w:val="TableText"/>
            </w:pPr>
            <w:r w:rsidRPr="00BC5EFF">
              <w:t>To be actioned</w:t>
            </w:r>
          </w:p>
        </w:tc>
      </w:tr>
      <w:tr w:rsidR="00DF035A" w:rsidRPr="00567373" w14:paraId="798FB8ED" w14:textId="77777777" w:rsidTr="00100A44">
        <w:trPr>
          <w:trHeight w:val="733"/>
        </w:trPr>
        <w:tc>
          <w:tcPr>
            <w:tcW w:w="1980" w:type="dxa"/>
          </w:tcPr>
          <w:p w14:paraId="2FE5B674" w14:textId="77777777" w:rsidR="00DF035A" w:rsidRPr="00567373" w:rsidRDefault="00DF035A" w:rsidP="00100A44">
            <w:pPr>
              <w:pStyle w:val="TableHeading-Black"/>
              <w:rPr>
                <w:lang w:val="en-GB"/>
              </w:rPr>
            </w:pPr>
            <w:r w:rsidRPr="009A3157">
              <w:t>July/August</w:t>
            </w:r>
          </w:p>
        </w:tc>
        <w:tc>
          <w:tcPr>
            <w:tcW w:w="3969" w:type="dxa"/>
          </w:tcPr>
          <w:p w14:paraId="1A954800" w14:textId="77777777" w:rsidR="00DF035A" w:rsidRPr="00BC5EFF" w:rsidRDefault="00DF035A" w:rsidP="00100A44">
            <w:pPr>
              <w:pStyle w:val="TableText"/>
            </w:pPr>
            <w:r w:rsidRPr="00BC5EFF">
              <w:t>Conduct financial statement</w:t>
            </w:r>
            <w:r>
              <w:t>s</w:t>
            </w:r>
            <w:r w:rsidRPr="00BC5EFF">
              <w:t xml:space="preserve"> process</w:t>
            </w:r>
          </w:p>
          <w:p w14:paraId="6BF7E2E4" w14:textId="77777777" w:rsidR="00DF035A" w:rsidRPr="00BC5EFF" w:rsidRDefault="00DF035A" w:rsidP="00100A44">
            <w:pPr>
              <w:pStyle w:val="TableText"/>
            </w:pPr>
            <w:r w:rsidRPr="00BC5EFF">
              <w:t>Prepare financial statements and notes in accordance with timetable.</w:t>
            </w:r>
          </w:p>
        </w:tc>
        <w:tc>
          <w:tcPr>
            <w:tcW w:w="1843" w:type="dxa"/>
          </w:tcPr>
          <w:p w14:paraId="1FC83C31" w14:textId="77777777" w:rsidR="00DF035A" w:rsidRPr="00BC5EFF" w:rsidRDefault="00DF035A" w:rsidP="00100A44">
            <w:pPr>
              <w:pStyle w:val="TableText"/>
            </w:pPr>
            <w:r w:rsidRPr="00BC5EFF">
              <w:t>Financial reporting team</w:t>
            </w:r>
          </w:p>
        </w:tc>
        <w:tc>
          <w:tcPr>
            <w:tcW w:w="1275" w:type="dxa"/>
          </w:tcPr>
          <w:p w14:paraId="5FB9E4E9" w14:textId="77777777" w:rsidR="00DF035A" w:rsidRPr="00BC5EFF" w:rsidRDefault="00DF035A" w:rsidP="00100A44">
            <w:pPr>
              <w:pStyle w:val="TableText"/>
            </w:pPr>
            <w:r w:rsidRPr="00BC5EFF">
              <w:t>To be actioned</w:t>
            </w:r>
          </w:p>
        </w:tc>
      </w:tr>
      <w:tr w:rsidR="00DF035A" w:rsidRPr="00567373" w14:paraId="75A1128E" w14:textId="77777777" w:rsidTr="00100A44">
        <w:trPr>
          <w:trHeight w:val="733"/>
        </w:trPr>
        <w:tc>
          <w:tcPr>
            <w:tcW w:w="1980" w:type="dxa"/>
          </w:tcPr>
          <w:p w14:paraId="19B646B9" w14:textId="77777777" w:rsidR="00DF035A" w:rsidRPr="00567373" w:rsidRDefault="00DF035A" w:rsidP="00100A44">
            <w:pPr>
              <w:pStyle w:val="TableHeading-Black"/>
              <w:rPr>
                <w:lang w:val="en-GB"/>
              </w:rPr>
            </w:pPr>
            <w:r>
              <w:t>July to December</w:t>
            </w:r>
            <w:r>
              <w:br/>
            </w:r>
          </w:p>
        </w:tc>
        <w:tc>
          <w:tcPr>
            <w:tcW w:w="3969" w:type="dxa"/>
          </w:tcPr>
          <w:p w14:paraId="00C3ECF8" w14:textId="77777777" w:rsidR="00DF035A" w:rsidRPr="00BC5EFF" w:rsidRDefault="00DF035A" w:rsidP="00100A44">
            <w:pPr>
              <w:pStyle w:val="TableText"/>
            </w:pPr>
            <w:r w:rsidRPr="00BC5EFF">
              <w:t>OAG final audit</w:t>
            </w:r>
          </w:p>
          <w:p w14:paraId="77669DB0" w14:textId="77777777" w:rsidR="00DF035A" w:rsidRPr="00BC5EFF" w:rsidRDefault="00DF035A" w:rsidP="00100A44">
            <w:pPr>
              <w:pStyle w:val="TableText"/>
            </w:pPr>
            <w:r w:rsidRPr="00BC5EFF">
              <w:t>OAG to conduct final audit fieldwork.</w:t>
            </w:r>
          </w:p>
        </w:tc>
        <w:tc>
          <w:tcPr>
            <w:tcW w:w="1843" w:type="dxa"/>
          </w:tcPr>
          <w:p w14:paraId="36BC609A" w14:textId="77777777" w:rsidR="00DF035A" w:rsidRPr="00BC5EFF" w:rsidRDefault="00DF035A" w:rsidP="00100A44">
            <w:pPr>
              <w:pStyle w:val="TableText"/>
            </w:pPr>
            <w:r w:rsidRPr="00BC5EFF">
              <w:t>OAG</w:t>
            </w:r>
          </w:p>
        </w:tc>
        <w:tc>
          <w:tcPr>
            <w:tcW w:w="1275" w:type="dxa"/>
          </w:tcPr>
          <w:p w14:paraId="73D2B61B" w14:textId="77777777" w:rsidR="00DF035A" w:rsidRPr="00BC5EFF" w:rsidRDefault="00DF035A" w:rsidP="00100A44">
            <w:pPr>
              <w:pStyle w:val="TableText"/>
            </w:pPr>
            <w:r w:rsidRPr="00BC5EFF">
              <w:t>To be actioned</w:t>
            </w:r>
          </w:p>
        </w:tc>
      </w:tr>
      <w:tr w:rsidR="00DF035A" w:rsidRPr="00567373" w14:paraId="6D4FFF5F" w14:textId="77777777" w:rsidTr="00100A44">
        <w:trPr>
          <w:trHeight w:val="733"/>
        </w:trPr>
        <w:tc>
          <w:tcPr>
            <w:tcW w:w="1980" w:type="dxa"/>
          </w:tcPr>
          <w:p w14:paraId="3F51CF64" w14:textId="77777777" w:rsidR="00DF035A" w:rsidRPr="00567373" w:rsidRDefault="00DF035A" w:rsidP="00100A44">
            <w:pPr>
              <w:pStyle w:val="TableHeading-Black"/>
              <w:rPr>
                <w:lang w:val="en-GB"/>
              </w:rPr>
            </w:pPr>
            <w:r>
              <w:t>August to December</w:t>
            </w:r>
          </w:p>
        </w:tc>
        <w:tc>
          <w:tcPr>
            <w:tcW w:w="3969" w:type="dxa"/>
          </w:tcPr>
          <w:p w14:paraId="408E0845" w14:textId="77777777" w:rsidR="00DF035A" w:rsidRPr="00BC5EFF" w:rsidRDefault="00DF035A" w:rsidP="00100A44">
            <w:pPr>
              <w:pStyle w:val="TableText"/>
            </w:pPr>
            <w:r w:rsidRPr="00BC5EFF">
              <w:t>OAG material clearance</w:t>
            </w:r>
          </w:p>
          <w:p w14:paraId="23E009D9" w14:textId="77777777" w:rsidR="00DF035A" w:rsidRPr="00BC5EFF" w:rsidRDefault="00DF035A" w:rsidP="00100A44">
            <w:pPr>
              <w:pStyle w:val="TableText"/>
            </w:pPr>
            <w:r w:rsidRPr="00BC5EFF">
              <w:t>OAG to finalise audit and provide material clearance.</w:t>
            </w:r>
          </w:p>
        </w:tc>
        <w:tc>
          <w:tcPr>
            <w:tcW w:w="1843" w:type="dxa"/>
          </w:tcPr>
          <w:p w14:paraId="64E687F2" w14:textId="77777777" w:rsidR="00DF035A" w:rsidRPr="00BC5EFF" w:rsidRDefault="00DF035A" w:rsidP="00100A44">
            <w:pPr>
              <w:pStyle w:val="TableText"/>
            </w:pPr>
            <w:r w:rsidRPr="00BC5EFF">
              <w:t>OAG</w:t>
            </w:r>
          </w:p>
        </w:tc>
        <w:tc>
          <w:tcPr>
            <w:tcW w:w="1275" w:type="dxa"/>
          </w:tcPr>
          <w:p w14:paraId="7AFA3F01" w14:textId="77777777" w:rsidR="00DF035A" w:rsidRPr="00BC5EFF" w:rsidRDefault="00DF035A" w:rsidP="00100A44">
            <w:pPr>
              <w:pStyle w:val="TableText"/>
            </w:pPr>
            <w:r w:rsidRPr="00BC5EFF">
              <w:t>To be actioned</w:t>
            </w:r>
          </w:p>
        </w:tc>
      </w:tr>
      <w:tr w:rsidR="00DF035A" w:rsidRPr="00567373" w14:paraId="50BFCCAD" w14:textId="77777777" w:rsidTr="00100A44">
        <w:trPr>
          <w:trHeight w:val="733"/>
        </w:trPr>
        <w:tc>
          <w:tcPr>
            <w:tcW w:w="1980" w:type="dxa"/>
          </w:tcPr>
          <w:p w14:paraId="3104E303" w14:textId="77777777" w:rsidR="00DF035A" w:rsidRPr="00567373" w:rsidRDefault="00DF035A" w:rsidP="00100A44">
            <w:pPr>
              <w:pStyle w:val="TableHeading-Black"/>
              <w:rPr>
                <w:lang w:val="en-GB"/>
              </w:rPr>
            </w:pPr>
            <w:r w:rsidRPr="009A3157">
              <w:t>August</w:t>
            </w:r>
            <w:r w:rsidRPr="009A3157">
              <w:br/>
            </w:r>
          </w:p>
        </w:tc>
        <w:tc>
          <w:tcPr>
            <w:tcW w:w="3969" w:type="dxa"/>
          </w:tcPr>
          <w:p w14:paraId="2385BB8A" w14:textId="77777777" w:rsidR="00DF035A" w:rsidRPr="00BC5EFF" w:rsidRDefault="00DF035A" w:rsidP="00100A44">
            <w:pPr>
              <w:pStyle w:val="TableText"/>
            </w:pPr>
            <w:r w:rsidRPr="00BC5EFF">
              <w:t xml:space="preserve">Audit </w:t>
            </w:r>
            <w:r>
              <w:t>c</w:t>
            </w:r>
            <w:r w:rsidRPr="00BC5EFF">
              <w:t>ommittee</w:t>
            </w:r>
          </w:p>
          <w:p w14:paraId="5C78619E" w14:textId="77777777" w:rsidR="00DF035A" w:rsidRPr="00BC5EFF" w:rsidRDefault="00DF035A" w:rsidP="00100A44">
            <w:pPr>
              <w:pStyle w:val="TableText"/>
            </w:pPr>
            <w:r w:rsidRPr="00BC5EFF">
              <w:t>Conduct detailed review of the annual financial statements.</w:t>
            </w:r>
          </w:p>
        </w:tc>
        <w:tc>
          <w:tcPr>
            <w:tcW w:w="1843" w:type="dxa"/>
          </w:tcPr>
          <w:p w14:paraId="1145C4FD" w14:textId="77777777" w:rsidR="00DF035A" w:rsidRPr="00BC5EFF" w:rsidRDefault="00DF035A" w:rsidP="00100A44">
            <w:pPr>
              <w:pStyle w:val="TableText"/>
            </w:pPr>
            <w:r w:rsidRPr="00BC5EFF">
              <w:t xml:space="preserve">CFO, director financial reporting, </w:t>
            </w:r>
            <w:r>
              <w:t>a</w:t>
            </w:r>
            <w:r w:rsidRPr="00BC5EFF">
              <w:t xml:space="preserve">udit </w:t>
            </w:r>
            <w:r>
              <w:t>c</w:t>
            </w:r>
            <w:r w:rsidRPr="00BC5EFF">
              <w:t>ommittee</w:t>
            </w:r>
          </w:p>
        </w:tc>
        <w:tc>
          <w:tcPr>
            <w:tcW w:w="1275" w:type="dxa"/>
          </w:tcPr>
          <w:p w14:paraId="3CA2E88A" w14:textId="77777777" w:rsidR="00DF035A" w:rsidRPr="00BC5EFF" w:rsidRDefault="00DF035A" w:rsidP="00100A44">
            <w:pPr>
              <w:pStyle w:val="TableText"/>
            </w:pPr>
            <w:r w:rsidRPr="00BC5EFF">
              <w:t>To be actioned</w:t>
            </w:r>
          </w:p>
        </w:tc>
      </w:tr>
      <w:tr w:rsidR="00DF035A" w:rsidRPr="00567373" w14:paraId="3854A0C4" w14:textId="77777777" w:rsidTr="00100A44">
        <w:trPr>
          <w:trHeight w:val="733"/>
        </w:trPr>
        <w:tc>
          <w:tcPr>
            <w:tcW w:w="1980" w:type="dxa"/>
          </w:tcPr>
          <w:p w14:paraId="691BDAD1" w14:textId="77777777" w:rsidR="00DF035A" w:rsidRPr="00567373" w:rsidRDefault="00DF035A" w:rsidP="00100A44">
            <w:pPr>
              <w:pStyle w:val="TableHeading-Black"/>
              <w:rPr>
                <w:lang w:val="en-GB"/>
              </w:rPr>
            </w:pPr>
            <w:r w:rsidRPr="009A3157">
              <w:t>August</w:t>
            </w:r>
            <w:r w:rsidRPr="009A3157">
              <w:br/>
            </w:r>
          </w:p>
        </w:tc>
        <w:tc>
          <w:tcPr>
            <w:tcW w:w="3969" w:type="dxa"/>
          </w:tcPr>
          <w:p w14:paraId="6CA67930" w14:textId="77777777" w:rsidR="00DF035A" w:rsidRPr="00BC5EFF" w:rsidRDefault="00DF035A" w:rsidP="00100A44">
            <w:pPr>
              <w:pStyle w:val="TableText"/>
            </w:pPr>
            <w:r w:rsidRPr="00BC5EFF">
              <w:t xml:space="preserve">Submit annual actuals to Department of Treasury </w:t>
            </w:r>
            <w:r>
              <w:t>(SIMS reporting)</w:t>
            </w:r>
          </w:p>
          <w:p w14:paraId="49840A8B" w14:textId="77777777" w:rsidR="00DF035A" w:rsidRPr="00BC5EFF" w:rsidRDefault="00DF035A" w:rsidP="00100A44">
            <w:pPr>
              <w:pStyle w:val="TableText"/>
            </w:pPr>
            <w:r w:rsidRPr="00BC5EFF">
              <w:t>Submit materially cleared financial statements to the Department of Treasury.</w:t>
            </w:r>
          </w:p>
        </w:tc>
        <w:tc>
          <w:tcPr>
            <w:tcW w:w="1843" w:type="dxa"/>
          </w:tcPr>
          <w:p w14:paraId="699543BF" w14:textId="77777777" w:rsidR="00DF035A" w:rsidRPr="00BC5EFF" w:rsidRDefault="00DF035A" w:rsidP="00100A44">
            <w:pPr>
              <w:pStyle w:val="TableText"/>
            </w:pPr>
            <w:r w:rsidRPr="00BC5EFF">
              <w:t>Financial reporting team, management</w:t>
            </w:r>
          </w:p>
        </w:tc>
        <w:tc>
          <w:tcPr>
            <w:tcW w:w="1275" w:type="dxa"/>
          </w:tcPr>
          <w:p w14:paraId="1E54DAA5" w14:textId="77777777" w:rsidR="00DF035A" w:rsidRPr="00BC5EFF" w:rsidRDefault="00DF035A" w:rsidP="00100A44">
            <w:pPr>
              <w:pStyle w:val="TableText"/>
            </w:pPr>
            <w:r w:rsidRPr="00BC5EFF">
              <w:t>To be actioned</w:t>
            </w:r>
          </w:p>
        </w:tc>
      </w:tr>
      <w:tr w:rsidR="00DF035A" w:rsidRPr="00567373" w14:paraId="59807714" w14:textId="77777777" w:rsidTr="00100A44">
        <w:trPr>
          <w:trHeight w:val="733"/>
        </w:trPr>
        <w:tc>
          <w:tcPr>
            <w:tcW w:w="1980" w:type="dxa"/>
          </w:tcPr>
          <w:p w14:paraId="21A85B38" w14:textId="77777777" w:rsidR="00DF035A" w:rsidRPr="00567373" w:rsidRDefault="00DF035A" w:rsidP="00100A44">
            <w:pPr>
              <w:pStyle w:val="TableHeading-Black"/>
              <w:rPr>
                <w:lang w:val="en-GB"/>
              </w:rPr>
            </w:pPr>
            <w:r>
              <w:t>August to December</w:t>
            </w:r>
          </w:p>
        </w:tc>
        <w:tc>
          <w:tcPr>
            <w:tcW w:w="3969" w:type="dxa"/>
          </w:tcPr>
          <w:p w14:paraId="52C028EB" w14:textId="77777777" w:rsidR="00DF035A" w:rsidRPr="00BC5EFF" w:rsidRDefault="00DF035A" w:rsidP="00100A44">
            <w:pPr>
              <w:pStyle w:val="TableText"/>
            </w:pPr>
            <w:r w:rsidRPr="00BC5EFF">
              <w:t>Audit report</w:t>
            </w:r>
          </w:p>
          <w:p w14:paraId="30EE9457" w14:textId="77777777" w:rsidR="00DF035A" w:rsidRPr="00BC5EFF" w:rsidRDefault="00DF035A" w:rsidP="00100A44">
            <w:pPr>
              <w:pStyle w:val="TableText"/>
            </w:pPr>
            <w:r w:rsidRPr="00BC5EFF">
              <w:t>OAG to finalise audit and provide the audit report. Other receivables from the OAG include:</w:t>
            </w:r>
          </w:p>
          <w:p w14:paraId="4BBDA6B2" w14:textId="77777777" w:rsidR="00DF035A" w:rsidRPr="00BC5EFF" w:rsidRDefault="00DF035A" w:rsidP="00DF035A">
            <w:pPr>
              <w:pStyle w:val="Bullet1"/>
              <w:tabs>
                <w:tab w:val="num" w:pos="284"/>
              </w:tabs>
              <w:ind w:left="313" w:hanging="313"/>
            </w:pPr>
            <w:r w:rsidRPr="00BC5EFF">
              <w:t xml:space="preserve">final management letter to the </w:t>
            </w:r>
            <w:r>
              <w:t>a</w:t>
            </w:r>
            <w:r w:rsidRPr="00BC5EFF">
              <w:t>ccountable authority</w:t>
            </w:r>
          </w:p>
          <w:p w14:paraId="45B0D361" w14:textId="77777777" w:rsidR="00DF035A" w:rsidRPr="00BC5EFF" w:rsidRDefault="00DF035A" w:rsidP="00DF035A">
            <w:pPr>
              <w:pStyle w:val="Bullet1"/>
              <w:tabs>
                <w:tab w:val="num" w:pos="284"/>
              </w:tabs>
              <w:ind w:left="313" w:hanging="313"/>
            </w:pPr>
            <w:r w:rsidRPr="00BC5EFF">
              <w:t>exit brief on results of financial statements audit</w:t>
            </w:r>
            <w:r>
              <w:t>.</w:t>
            </w:r>
          </w:p>
        </w:tc>
        <w:tc>
          <w:tcPr>
            <w:tcW w:w="1843" w:type="dxa"/>
          </w:tcPr>
          <w:p w14:paraId="2BAA0C7A" w14:textId="77777777" w:rsidR="00DF035A" w:rsidRPr="00BC5EFF" w:rsidRDefault="00DF035A" w:rsidP="00100A44">
            <w:pPr>
              <w:pStyle w:val="TableText"/>
            </w:pPr>
            <w:r w:rsidRPr="00BC5EFF">
              <w:t>OAG</w:t>
            </w:r>
          </w:p>
        </w:tc>
        <w:tc>
          <w:tcPr>
            <w:tcW w:w="1275" w:type="dxa"/>
          </w:tcPr>
          <w:p w14:paraId="35AD6ECD" w14:textId="77777777" w:rsidR="00DF035A" w:rsidRPr="00BC5EFF" w:rsidRDefault="00DF035A" w:rsidP="00100A44">
            <w:pPr>
              <w:pStyle w:val="TableText"/>
            </w:pPr>
            <w:r w:rsidRPr="00BC5EFF">
              <w:t>To be actioned</w:t>
            </w:r>
          </w:p>
        </w:tc>
      </w:tr>
      <w:tr w:rsidR="00DF035A" w:rsidRPr="00567373" w14:paraId="550CB488" w14:textId="77777777" w:rsidTr="00100A44">
        <w:trPr>
          <w:trHeight w:val="733"/>
        </w:trPr>
        <w:tc>
          <w:tcPr>
            <w:tcW w:w="1980" w:type="dxa"/>
          </w:tcPr>
          <w:p w14:paraId="3065147B" w14:textId="77777777" w:rsidR="00DF035A" w:rsidRPr="00567373" w:rsidRDefault="00DF035A" w:rsidP="00100A44">
            <w:pPr>
              <w:pStyle w:val="TableHeading-Black"/>
              <w:rPr>
                <w:lang w:val="en-GB"/>
              </w:rPr>
            </w:pPr>
            <w:r>
              <w:lastRenderedPageBreak/>
              <w:t>September to December</w:t>
            </w:r>
            <w:r w:rsidRPr="009A3157">
              <w:br/>
            </w:r>
          </w:p>
        </w:tc>
        <w:tc>
          <w:tcPr>
            <w:tcW w:w="3969" w:type="dxa"/>
          </w:tcPr>
          <w:p w14:paraId="30CF80D6" w14:textId="77777777" w:rsidR="00DF035A" w:rsidRPr="00BC5EFF" w:rsidRDefault="00DF035A" w:rsidP="00100A44">
            <w:pPr>
              <w:pStyle w:val="TableText"/>
            </w:pPr>
            <w:r w:rsidRPr="00BC5EFF">
              <w:t>Audit committee</w:t>
            </w:r>
          </w:p>
          <w:p w14:paraId="238E5687" w14:textId="77777777" w:rsidR="00DF035A" w:rsidRPr="00BC5EFF" w:rsidRDefault="00DF035A" w:rsidP="00100A44">
            <w:pPr>
              <w:pStyle w:val="TableText"/>
            </w:pPr>
            <w:r w:rsidRPr="00BC5EFF">
              <w:t>Audit committee to recommend that the 20</w:t>
            </w:r>
            <w:r>
              <w:t>2x</w:t>
            </w:r>
            <w:r w:rsidRPr="00BC5EFF">
              <w:t>-</w:t>
            </w:r>
            <w:r>
              <w:t>2x</w:t>
            </w:r>
            <w:r w:rsidRPr="00BC5EFF">
              <w:t xml:space="preserve"> financial statements be signed by the accountable authority.</w:t>
            </w:r>
          </w:p>
        </w:tc>
        <w:tc>
          <w:tcPr>
            <w:tcW w:w="1843" w:type="dxa"/>
          </w:tcPr>
          <w:p w14:paraId="269A4925" w14:textId="77777777" w:rsidR="00DF035A" w:rsidRPr="00BC5EFF" w:rsidRDefault="00DF035A" w:rsidP="00100A44">
            <w:pPr>
              <w:pStyle w:val="TableText"/>
            </w:pPr>
            <w:r w:rsidRPr="00BC5EFF">
              <w:t xml:space="preserve">CFO, director financial reporting, </w:t>
            </w:r>
            <w:r>
              <w:t>a</w:t>
            </w:r>
            <w:r w:rsidRPr="00BC5EFF">
              <w:t>udit committee</w:t>
            </w:r>
          </w:p>
        </w:tc>
        <w:tc>
          <w:tcPr>
            <w:tcW w:w="1275" w:type="dxa"/>
          </w:tcPr>
          <w:p w14:paraId="07F4CA97" w14:textId="77777777" w:rsidR="00DF035A" w:rsidRPr="00BC5EFF" w:rsidRDefault="00DF035A" w:rsidP="00100A44">
            <w:pPr>
              <w:pStyle w:val="TableText"/>
            </w:pPr>
            <w:r w:rsidRPr="00BC5EFF">
              <w:t>To be actioned</w:t>
            </w:r>
          </w:p>
        </w:tc>
      </w:tr>
      <w:tr w:rsidR="00DF035A" w:rsidRPr="00567373" w14:paraId="2936E7F1" w14:textId="77777777" w:rsidTr="00100A44">
        <w:trPr>
          <w:trHeight w:val="733"/>
        </w:trPr>
        <w:tc>
          <w:tcPr>
            <w:tcW w:w="1980" w:type="dxa"/>
          </w:tcPr>
          <w:p w14:paraId="6376AFA7" w14:textId="77777777" w:rsidR="00DF035A" w:rsidRPr="00567373" w:rsidRDefault="00DF035A" w:rsidP="00100A44">
            <w:pPr>
              <w:pStyle w:val="TableHeading-Black"/>
              <w:rPr>
                <w:lang w:val="en-GB"/>
              </w:rPr>
            </w:pPr>
            <w:r>
              <w:t>September to December</w:t>
            </w:r>
          </w:p>
        </w:tc>
        <w:tc>
          <w:tcPr>
            <w:tcW w:w="3969" w:type="dxa"/>
          </w:tcPr>
          <w:p w14:paraId="5B3D893C" w14:textId="77777777" w:rsidR="00DF035A" w:rsidRPr="00BC5EFF" w:rsidRDefault="00DF035A" w:rsidP="00100A44">
            <w:pPr>
              <w:pStyle w:val="TableText"/>
            </w:pPr>
            <w:r w:rsidRPr="00BC5EFF">
              <w:t>Accountable authority to sign 20</w:t>
            </w:r>
            <w:r>
              <w:t>2x</w:t>
            </w:r>
            <w:r w:rsidRPr="00BC5EFF">
              <w:t>-</w:t>
            </w:r>
            <w:r>
              <w:t>2x</w:t>
            </w:r>
            <w:r w:rsidRPr="00BC5EFF">
              <w:t xml:space="preserve"> financial statements</w:t>
            </w:r>
            <w:r>
              <w:t>.</w:t>
            </w:r>
          </w:p>
        </w:tc>
        <w:tc>
          <w:tcPr>
            <w:tcW w:w="1843" w:type="dxa"/>
          </w:tcPr>
          <w:p w14:paraId="62C6AE64" w14:textId="77777777" w:rsidR="00DF035A" w:rsidRPr="00BC5EFF" w:rsidRDefault="00DF035A" w:rsidP="00100A44">
            <w:pPr>
              <w:pStyle w:val="TableText"/>
            </w:pPr>
            <w:r w:rsidRPr="00BC5EFF">
              <w:t xml:space="preserve">CFO, </w:t>
            </w:r>
            <w:r>
              <w:t>a</w:t>
            </w:r>
            <w:r w:rsidRPr="00BC5EFF">
              <w:t>ccountable authority</w:t>
            </w:r>
          </w:p>
        </w:tc>
        <w:tc>
          <w:tcPr>
            <w:tcW w:w="1275" w:type="dxa"/>
          </w:tcPr>
          <w:p w14:paraId="7B1D2C3C" w14:textId="77777777" w:rsidR="00DF035A" w:rsidRPr="00BC5EFF" w:rsidRDefault="00DF035A" w:rsidP="00100A44">
            <w:pPr>
              <w:pStyle w:val="TableText"/>
            </w:pPr>
            <w:r w:rsidRPr="00BC5EFF">
              <w:t>To be actioned</w:t>
            </w:r>
          </w:p>
        </w:tc>
      </w:tr>
    </w:tbl>
    <w:p w14:paraId="3A6CE2FD" w14:textId="77777777" w:rsidR="00DF035A" w:rsidRPr="00DF02E9" w:rsidRDefault="00DF035A" w:rsidP="00DF035A">
      <w:pPr>
        <w:pStyle w:val="Heading3"/>
      </w:pPr>
      <w:bookmarkStart w:id="2" w:name="_Toc972483"/>
      <w:bookmarkStart w:id="3" w:name="_Toc534522408"/>
      <w:bookmarkStart w:id="4" w:name="OLE_LINK16"/>
      <w:r w:rsidRPr="00DF02E9">
        <w:t>Acronyms and abbreviations</w:t>
      </w:r>
      <w:bookmarkEnd w:id="2"/>
    </w:p>
    <w:tbl>
      <w:tblPr>
        <w:tblStyle w:val="TableGridLight"/>
        <w:tblW w:w="9016" w:type="dxa"/>
        <w:tblBorders>
          <w:top w:val="single" w:sz="4" w:space="0" w:color="003C71" w:themeColor="accent1"/>
          <w:left w:val="single" w:sz="4" w:space="0" w:color="003C71" w:themeColor="accent1"/>
          <w:bottom w:val="single" w:sz="4" w:space="0" w:color="003C71" w:themeColor="accent1"/>
          <w:right w:val="single" w:sz="4" w:space="0" w:color="003C71" w:themeColor="accent1"/>
          <w:insideH w:val="single" w:sz="4" w:space="0" w:color="003C71" w:themeColor="accent1"/>
          <w:insideV w:val="single" w:sz="4" w:space="0" w:color="003C71" w:themeColor="accent1"/>
        </w:tblBorders>
        <w:tblLook w:val="04A0" w:firstRow="1" w:lastRow="0" w:firstColumn="1" w:lastColumn="0" w:noHBand="0" w:noVBand="1"/>
        <w:tblCaption w:val="Acronyms and abbreviations"/>
        <w:tblDescription w:val="This table lists the acronyms and abbreviations used within the time table. The first column lists the acronyms or abbreviations. The second column provides the full name or title for that item."/>
      </w:tblPr>
      <w:tblGrid>
        <w:gridCol w:w="2547"/>
        <w:gridCol w:w="6469"/>
      </w:tblGrid>
      <w:tr w:rsidR="00DF035A" w14:paraId="6DFA493F" w14:textId="77777777" w:rsidTr="00100A44">
        <w:trPr>
          <w:tblHeader/>
        </w:trPr>
        <w:tc>
          <w:tcPr>
            <w:tcW w:w="2547" w:type="dxa"/>
            <w:shd w:val="clear" w:color="auto" w:fill="002060"/>
          </w:tcPr>
          <w:bookmarkEnd w:id="3"/>
          <w:bookmarkEnd w:id="4"/>
          <w:p w14:paraId="7E4CE6F6" w14:textId="77777777" w:rsidR="00DF035A" w:rsidRPr="007F040A" w:rsidRDefault="00DF035A" w:rsidP="00100A44">
            <w:pPr>
              <w:pStyle w:val="TableHeading-White"/>
            </w:pPr>
            <w:r w:rsidRPr="007F040A">
              <w:t>Acronym/abbreviation</w:t>
            </w:r>
          </w:p>
        </w:tc>
        <w:tc>
          <w:tcPr>
            <w:tcW w:w="6469" w:type="dxa"/>
            <w:shd w:val="clear" w:color="auto" w:fill="002060"/>
          </w:tcPr>
          <w:p w14:paraId="67457083" w14:textId="77777777" w:rsidR="00DF035A" w:rsidRPr="007F040A" w:rsidRDefault="00DF035A" w:rsidP="00100A44">
            <w:pPr>
              <w:pStyle w:val="TableHeading-White"/>
            </w:pPr>
            <w:r w:rsidRPr="007F040A">
              <w:t>Title in full</w:t>
            </w:r>
          </w:p>
        </w:tc>
      </w:tr>
      <w:tr w:rsidR="00DF035A" w14:paraId="024CB574" w14:textId="77777777" w:rsidTr="00100A44">
        <w:tc>
          <w:tcPr>
            <w:tcW w:w="2547" w:type="dxa"/>
          </w:tcPr>
          <w:p w14:paraId="35D8F929" w14:textId="77777777" w:rsidR="00DF035A" w:rsidRPr="00221693" w:rsidRDefault="00DF035A" w:rsidP="00100A44">
            <w:pPr>
              <w:pStyle w:val="TableText"/>
            </w:pPr>
            <w:r w:rsidRPr="00221693">
              <w:t>AAS</w:t>
            </w:r>
          </w:p>
        </w:tc>
        <w:tc>
          <w:tcPr>
            <w:tcW w:w="6469" w:type="dxa"/>
          </w:tcPr>
          <w:p w14:paraId="5FDB7CB9" w14:textId="77777777" w:rsidR="00DF035A" w:rsidRPr="00221693" w:rsidRDefault="00DF035A" w:rsidP="00100A44">
            <w:pPr>
              <w:pStyle w:val="TableText"/>
            </w:pPr>
            <w:r w:rsidRPr="00221693">
              <w:t>Australian Accounting Standards</w:t>
            </w:r>
            <w:r>
              <w:t xml:space="preserve"> as issued by the AASB</w:t>
            </w:r>
          </w:p>
        </w:tc>
      </w:tr>
      <w:tr w:rsidR="00DF035A" w14:paraId="3EF37A77" w14:textId="77777777" w:rsidTr="00100A44">
        <w:tc>
          <w:tcPr>
            <w:tcW w:w="2547" w:type="dxa"/>
          </w:tcPr>
          <w:p w14:paraId="53D9DA5D" w14:textId="77777777" w:rsidR="00DF035A" w:rsidRPr="00221693" w:rsidRDefault="00DF035A" w:rsidP="00100A44">
            <w:pPr>
              <w:pStyle w:val="TableText"/>
            </w:pPr>
            <w:r w:rsidRPr="00221693">
              <w:t>AASB</w:t>
            </w:r>
          </w:p>
        </w:tc>
        <w:tc>
          <w:tcPr>
            <w:tcW w:w="6469" w:type="dxa"/>
          </w:tcPr>
          <w:p w14:paraId="679AF69B" w14:textId="77777777" w:rsidR="00DF035A" w:rsidRPr="00221693" w:rsidRDefault="00DF035A" w:rsidP="00100A44">
            <w:pPr>
              <w:pStyle w:val="TableText"/>
            </w:pPr>
            <w:r w:rsidRPr="00221693">
              <w:t>Australian Accounting Standards Board</w:t>
            </w:r>
          </w:p>
        </w:tc>
      </w:tr>
      <w:tr w:rsidR="00DF035A" w14:paraId="0D84ECDA" w14:textId="77777777" w:rsidTr="00100A44">
        <w:tc>
          <w:tcPr>
            <w:tcW w:w="2547" w:type="dxa"/>
          </w:tcPr>
          <w:p w14:paraId="1DADFF20" w14:textId="77777777" w:rsidR="00DF035A" w:rsidRPr="00221693" w:rsidRDefault="00DF035A" w:rsidP="00100A44">
            <w:pPr>
              <w:pStyle w:val="TableText"/>
            </w:pPr>
            <w:r>
              <w:t>OAG</w:t>
            </w:r>
          </w:p>
        </w:tc>
        <w:tc>
          <w:tcPr>
            <w:tcW w:w="6469" w:type="dxa"/>
          </w:tcPr>
          <w:p w14:paraId="37212493" w14:textId="77777777" w:rsidR="00DF035A" w:rsidRPr="00221693" w:rsidRDefault="00DF035A" w:rsidP="00100A44">
            <w:pPr>
              <w:pStyle w:val="TableText"/>
            </w:pPr>
            <w:r w:rsidRPr="00221693">
              <w:t>Office</w:t>
            </w:r>
            <w:r>
              <w:t xml:space="preserve"> of the Auditor General</w:t>
            </w:r>
          </w:p>
        </w:tc>
      </w:tr>
      <w:tr w:rsidR="00DF035A" w14:paraId="12155F1B" w14:textId="77777777" w:rsidTr="00100A44">
        <w:tc>
          <w:tcPr>
            <w:tcW w:w="2547" w:type="dxa"/>
          </w:tcPr>
          <w:p w14:paraId="3F7F2BAE" w14:textId="77777777" w:rsidR="00DF035A" w:rsidRPr="00221693" w:rsidRDefault="00DF035A" w:rsidP="00100A44">
            <w:pPr>
              <w:pStyle w:val="TableText"/>
            </w:pPr>
            <w:r w:rsidRPr="00221693">
              <w:t>CFO</w:t>
            </w:r>
          </w:p>
        </w:tc>
        <w:tc>
          <w:tcPr>
            <w:tcW w:w="6469" w:type="dxa"/>
          </w:tcPr>
          <w:p w14:paraId="0CBB8CCD" w14:textId="77777777" w:rsidR="00DF035A" w:rsidRPr="00221693" w:rsidRDefault="00DF035A" w:rsidP="00100A44">
            <w:pPr>
              <w:pStyle w:val="TableText"/>
              <w:rPr>
                <w:i/>
              </w:rPr>
            </w:pPr>
            <w:r w:rsidRPr="00221693">
              <w:t xml:space="preserve">Chief </w:t>
            </w:r>
            <w:r>
              <w:t>f</w:t>
            </w:r>
            <w:r w:rsidRPr="00221693">
              <w:t xml:space="preserve">inancial </w:t>
            </w:r>
            <w:r>
              <w:t>o</w:t>
            </w:r>
            <w:r w:rsidRPr="00221693">
              <w:t>fficer</w:t>
            </w:r>
          </w:p>
        </w:tc>
      </w:tr>
      <w:tr w:rsidR="00DF035A" w14:paraId="7D3349FF" w14:textId="77777777" w:rsidTr="00100A44">
        <w:tc>
          <w:tcPr>
            <w:tcW w:w="2547" w:type="dxa"/>
          </w:tcPr>
          <w:p w14:paraId="58EE3EFC" w14:textId="77777777" w:rsidR="00DF035A" w:rsidRPr="00221693" w:rsidRDefault="00DF035A" w:rsidP="00100A44">
            <w:pPr>
              <w:pStyle w:val="TableText"/>
            </w:pPr>
            <w:r>
              <w:t>FM Act</w:t>
            </w:r>
          </w:p>
        </w:tc>
        <w:tc>
          <w:tcPr>
            <w:tcW w:w="6469" w:type="dxa"/>
          </w:tcPr>
          <w:p w14:paraId="46F341E2" w14:textId="77777777" w:rsidR="00DF035A" w:rsidRPr="00E14B14" w:rsidRDefault="00DF035A" w:rsidP="00100A44">
            <w:pPr>
              <w:pStyle w:val="TableText"/>
              <w:rPr>
                <w:i/>
              </w:rPr>
            </w:pPr>
            <w:r>
              <w:rPr>
                <w:i/>
              </w:rPr>
              <w:t>Financial Management Act 2006</w:t>
            </w:r>
          </w:p>
        </w:tc>
      </w:tr>
      <w:tr w:rsidR="00DF035A" w14:paraId="4FA76EB4" w14:textId="77777777" w:rsidTr="00100A44">
        <w:tc>
          <w:tcPr>
            <w:tcW w:w="2547" w:type="dxa"/>
          </w:tcPr>
          <w:p w14:paraId="33AAC61B" w14:textId="77777777" w:rsidR="00DF035A" w:rsidRDefault="00DF035A" w:rsidP="00100A44">
            <w:pPr>
              <w:pStyle w:val="TableText"/>
            </w:pPr>
            <w:r>
              <w:t>TI</w:t>
            </w:r>
          </w:p>
        </w:tc>
        <w:tc>
          <w:tcPr>
            <w:tcW w:w="6469" w:type="dxa"/>
          </w:tcPr>
          <w:p w14:paraId="397EC70F" w14:textId="77777777" w:rsidR="00DF035A" w:rsidRPr="00E62861" w:rsidRDefault="00DF035A" w:rsidP="00100A44">
            <w:pPr>
              <w:pStyle w:val="TableText"/>
            </w:pPr>
            <w:r>
              <w:t>Treasurer’s instructions</w:t>
            </w:r>
          </w:p>
        </w:tc>
      </w:tr>
      <w:tr w:rsidR="00DF035A" w14:paraId="16398D3C" w14:textId="77777777" w:rsidTr="00100A44">
        <w:tc>
          <w:tcPr>
            <w:tcW w:w="2547" w:type="dxa"/>
          </w:tcPr>
          <w:p w14:paraId="654ECA94" w14:textId="77777777" w:rsidR="00DF035A" w:rsidRPr="00221693" w:rsidRDefault="00DF035A" w:rsidP="00100A44">
            <w:pPr>
              <w:pStyle w:val="TableText"/>
            </w:pPr>
            <w:r>
              <w:t>LG Act</w:t>
            </w:r>
          </w:p>
        </w:tc>
        <w:tc>
          <w:tcPr>
            <w:tcW w:w="6469" w:type="dxa"/>
          </w:tcPr>
          <w:p w14:paraId="1ABE6BC8" w14:textId="77777777" w:rsidR="00DF035A" w:rsidRPr="00865124" w:rsidRDefault="00DF035A" w:rsidP="00100A44">
            <w:pPr>
              <w:pStyle w:val="TableText"/>
              <w:rPr>
                <w:i/>
              </w:rPr>
            </w:pPr>
            <w:r w:rsidRPr="00865124">
              <w:rPr>
                <w:i/>
              </w:rPr>
              <w:t>Local Government Act 1995</w:t>
            </w:r>
          </w:p>
        </w:tc>
      </w:tr>
      <w:tr w:rsidR="00DF035A" w14:paraId="5B5E48F1" w14:textId="77777777" w:rsidTr="00100A44">
        <w:tc>
          <w:tcPr>
            <w:tcW w:w="2547" w:type="dxa"/>
          </w:tcPr>
          <w:p w14:paraId="38EBE567" w14:textId="77777777" w:rsidR="00DF035A" w:rsidRDefault="00DF035A" w:rsidP="00100A44">
            <w:pPr>
              <w:pStyle w:val="TableText"/>
            </w:pPr>
            <w:r>
              <w:t>LG Regs</w:t>
            </w:r>
          </w:p>
        </w:tc>
        <w:tc>
          <w:tcPr>
            <w:tcW w:w="6469" w:type="dxa"/>
          </w:tcPr>
          <w:p w14:paraId="4CCC7982" w14:textId="77777777" w:rsidR="00DF035A" w:rsidRPr="001D079B" w:rsidRDefault="00DF035A" w:rsidP="00100A44">
            <w:pPr>
              <w:pStyle w:val="TableText"/>
            </w:pPr>
            <w:r w:rsidRPr="001D079B">
              <w:t>Local Government (Financial Management) Regulations 1996</w:t>
            </w:r>
          </w:p>
        </w:tc>
      </w:tr>
      <w:tr w:rsidR="00DF035A" w14:paraId="6F6C42E3" w14:textId="77777777" w:rsidTr="00100A44">
        <w:tc>
          <w:tcPr>
            <w:tcW w:w="2547" w:type="dxa"/>
          </w:tcPr>
          <w:p w14:paraId="4B2121CA" w14:textId="77777777" w:rsidR="00DF035A" w:rsidRDefault="00DF035A" w:rsidP="00100A44">
            <w:pPr>
              <w:pStyle w:val="TableText"/>
            </w:pPr>
            <w:r>
              <w:t>SIMS</w:t>
            </w:r>
          </w:p>
        </w:tc>
        <w:tc>
          <w:tcPr>
            <w:tcW w:w="6469" w:type="dxa"/>
          </w:tcPr>
          <w:p w14:paraId="511A0CDC" w14:textId="77777777" w:rsidR="00DF035A" w:rsidRPr="00AB113F" w:rsidRDefault="00DF035A" w:rsidP="00100A44">
            <w:pPr>
              <w:pStyle w:val="TableText"/>
            </w:pPr>
            <w:r w:rsidRPr="00AB113F">
              <w:t>Strategic information management system</w:t>
            </w:r>
          </w:p>
        </w:tc>
      </w:tr>
    </w:tbl>
    <w:p w14:paraId="274EFF0B" w14:textId="77777777" w:rsidR="00DF035A" w:rsidRDefault="00DF035A" w:rsidP="00DF035A">
      <w:pPr>
        <w:pStyle w:val="BodyText"/>
      </w:pPr>
    </w:p>
    <w:p w14:paraId="63CA94F6" w14:textId="77777777" w:rsidR="00DF035A" w:rsidRPr="00DF035A" w:rsidRDefault="00DF035A" w:rsidP="00DF035A">
      <w:pPr>
        <w:pStyle w:val="BodyText"/>
      </w:pPr>
    </w:p>
    <w:sectPr w:rsidR="00DF035A" w:rsidRPr="00DF035A" w:rsidSect="004B146E">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0" w:footer="61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86627" w14:textId="77777777" w:rsidR="004B146E" w:rsidRDefault="004B146E" w:rsidP="00F25040">
      <w:r>
        <w:separator/>
      </w:r>
    </w:p>
  </w:endnote>
  <w:endnote w:type="continuationSeparator" w:id="0">
    <w:p w14:paraId="48ED2A18" w14:textId="77777777" w:rsidR="004B146E" w:rsidRDefault="004B146E" w:rsidP="00F2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43DCF" w14:textId="4765A8B3" w:rsidR="0066608F" w:rsidRDefault="0066608F" w:rsidP="0066608F">
    <w:pPr>
      <w:pStyle w:val="Footer"/>
      <w:jc w:val="right"/>
    </w:pPr>
    <w:r w:rsidRPr="004B146E">
      <w:t>Western Australian Public Sector Financial Statements – Better Practice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1C961" w14:textId="6F049ACE" w:rsidR="004B146E" w:rsidRDefault="004B146E" w:rsidP="004B146E">
    <w:pPr>
      <w:pStyle w:val="Footer"/>
      <w:jc w:val="right"/>
    </w:pPr>
    <w:r w:rsidRPr="004B146E">
      <w:t>Western Australian Public Sector Financial Statements – Better Practice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F210A" w14:textId="77777777" w:rsidR="0066608F" w:rsidRDefault="00666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37780" w14:textId="77777777" w:rsidR="004B146E" w:rsidRDefault="004B146E" w:rsidP="00F25040">
      <w:r>
        <w:separator/>
      </w:r>
    </w:p>
  </w:footnote>
  <w:footnote w:type="continuationSeparator" w:id="0">
    <w:p w14:paraId="36598EA9" w14:textId="77777777" w:rsidR="004B146E" w:rsidRDefault="004B146E" w:rsidP="00F2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E7FE6" w14:textId="77777777" w:rsidR="0066608F" w:rsidRDefault="00666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05FDE" w14:textId="77777777" w:rsidR="0066608F" w:rsidRDefault="00666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5BA03" w14:textId="77777777" w:rsidR="0066608F" w:rsidRDefault="00666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745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0E7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54E3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727D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A73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42AC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486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70D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00BB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20C7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56EAF"/>
    <w:multiLevelType w:val="hybridMultilevel"/>
    <w:tmpl w:val="1F86D6DE"/>
    <w:lvl w:ilvl="0" w:tplc="9A565F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E2567D"/>
    <w:multiLevelType w:val="hybridMultilevel"/>
    <w:tmpl w:val="8A4ABBA8"/>
    <w:lvl w:ilvl="0" w:tplc="18B2AFF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BF71C9"/>
    <w:multiLevelType w:val="hybridMultilevel"/>
    <w:tmpl w:val="AEE8A27A"/>
    <w:lvl w:ilvl="0" w:tplc="BA1A28A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2873B0"/>
    <w:multiLevelType w:val="hybridMultilevel"/>
    <w:tmpl w:val="F5A696D0"/>
    <w:lvl w:ilvl="0" w:tplc="4DE8375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AE43649"/>
    <w:multiLevelType w:val="multilevel"/>
    <w:tmpl w:val="63F42052"/>
    <w:lvl w:ilvl="0">
      <w:start w:val="1"/>
      <w:numFmt w:val="decimal"/>
      <w:lvlText w:val="%1."/>
      <w:lvlJc w:val="left"/>
      <w:pPr>
        <w:ind w:left="540" w:hanging="54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0D7D20"/>
    <w:multiLevelType w:val="multilevel"/>
    <w:tmpl w:val="874015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540C7B"/>
    <w:multiLevelType w:val="hybridMultilevel"/>
    <w:tmpl w:val="0B3093F2"/>
    <w:lvl w:ilvl="0" w:tplc="F0BAD51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B201EB"/>
    <w:multiLevelType w:val="multilevel"/>
    <w:tmpl w:val="79262C7A"/>
    <w:numStyleLink w:val="BulletsList"/>
  </w:abstractNum>
  <w:abstractNum w:abstractNumId="18" w15:restartNumberingAfterBreak="0">
    <w:nsid w:val="518772E0"/>
    <w:multiLevelType w:val="hybridMultilevel"/>
    <w:tmpl w:val="B44AFEB6"/>
    <w:lvl w:ilvl="0" w:tplc="35DCC22E">
      <w:start w:val="1"/>
      <w:numFmt w:val="bullet"/>
      <w:pStyle w:val="Bullet1"/>
      <w:lvlText w:val=""/>
      <w:lvlJc w:val="left"/>
      <w:pPr>
        <w:tabs>
          <w:tab w:val="num" w:pos="284"/>
        </w:tabs>
        <w:ind w:left="851" w:hanging="85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EB6068"/>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06011CD"/>
    <w:multiLevelType w:val="multilevel"/>
    <w:tmpl w:val="AA1A3DCE"/>
    <w:lvl w:ilvl="0">
      <w:start w:val="1"/>
      <w:numFmt w:val="decimal"/>
      <w:lvlText w:val="%1."/>
      <w:lvlJc w:val="left"/>
      <w:pPr>
        <w:ind w:left="540" w:hanging="540"/>
      </w:pPr>
    </w:lvl>
    <w:lvl w:ilvl="1">
      <w:start w:val="1"/>
      <w:numFmt w:val="lowerLetter"/>
      <w:lvlText w:val="%2."/>
      <w:lvlJc w:val="left"/>
      <w:pPr>
        <w:ind w:left="1080" w:hanging="54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E57BDD"/>
    <w:multiLevelType w:val="hybridMultilevel"/>
    <w:tmpl w:val="ACE2F6AA"/>
    <w:lvl w:ilvl="0" w:tplc="2C702CA8">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2" w15:restartNumberingAfterBreak="0">
    <w:nsid w:val="62FD409E"/>
    <w:multiLevelType w:val="multilevel"/>
    <w:tmpl w:val="C17EA92A"/>
    <w:lvl w:ilvl="0">
      <w:start w:val="1"/>
      <w:numFmt w:val="decimal"/>
      <w:lvlText w:val="%1."/>
      <w:lvlJc w:val="left"/>
      <w:pPr>
        <w:ind w:left="540" w:hanging="54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9A36F3B"/>
    <w:multiLevelType w:val="hybridMultilevel"/>
    <w:tmpl w:val="1E5AB69C"/>
    <w:lvl w:ilvl="0" w:tplc="FC143CEE">
      <w:start w:val="1"/>
      <w:numFmt w:val="bullet"/>
      <w:pStyle w:val="Bullet2"/>
      <w:lvlText w:val="o"/>
      <w:lvlJc w:val="left"/>
      <w:pPr>
        <w:tabs>
          <w:tab w:val="num" w:pos="567"/>
        </w:tabs>
        <w:ind w:left="567" w:hanging="283"/>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107305"/>
    <w:multiLevelType w:val="multilevel"/>
    <w:tmpl w:val="79262C7A"/>
    <w:styleLink w:val="BulletsLis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46F1E8C"/>
    <w:multiLevelType w:val="multilevel"/>
    <w:tmpl w:val="543AA490"/>
    <w:lvl w:ilvl="0">
      <w:start w:val="1"/>
      <w:numFmt w:val="decimal"/>
      <w:pStyle w:val="RecommendationsText"/>
      <w:lvlText w:val="%1."/>
      <w:lvlJc w:val="left"/>
      <w:pPr>
        <w:ind w:left="540" w:hanging="540"/>
      </w:pPr>
    </w:lvl>
    <w:lvl w:ilvl="1">
      <w:start w:val="1"/>
      <w:numFmt w:val="lowerLetter"/>
      <w:pStyle w:val="RecommendationsBullet1"/>
      <w:lvlText w:val="%2."/>
      <w:lvlJc w:val="left"/>
      <w:pPr>
        <w:ind w:left="1080" w:hanging="54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08517F"/>
    <w:multiLevelType w:val="multilevel"/>
    <w:tmpl w:val="EE280F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853C7E"/>
    <w:multiLevelType w:val="multilevel"/>
    <w:tmpl w:val="50FC583E"/>
    <w:lvl w:ilvl="0">
      <w:start w:val="1"/>
      <w:numFmt w:val="decimal"/>
      <w:lvlText w:val="%1."/>
      <w:lvlJc w:val="left"/>
      <w:pPr>
        <w:ind w:left="540" w:hanging="54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8"/>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0"/>
  </w:num>
  <w:num w:numId="17">
    <w:abstractNumId w:val="16"/>
  </w:num>
  <w:num w:numId="18">
    <w:abstractNumId w:val="26"/>
  </w:num>
  <w:num w:numId="19">
    <w:abstractNumId w:val="15"/>
  </w:num>
  <w:num w:numId="20">
    <w:abstractNumId w:val="14"/>
  </w:num>
  <w:num w:numId="21">
    <w:abstractNumId w:val="22"/>
  </w:num>
  <w:num w:numId="22">
    <w:abstractNumId w:val="27"/>
  </w:num>
  <w:num w:numId="23">
    <w:abstractNumId w:val="20"/>
  </w:num>
  <w:num w:numId="24">
    <w:abstractNumId w:val="25"/>
  </w:num>
  <w:num w:numId="25">
    <w:abstractNumId w:val="24"/>
  </w:num>
  <w:num w:numId="26">
    <w:abstractNumId w:val="13"/>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6E"/>
    <w:rsid w:val="000032A0"/>
    <w:rsid w:val="0003753E"/>
    <w:rsid w:val="000422F3"/>
    <w:rsid w:val="00045B19"/>
    <w:rsid w:val="000505D6"/>
    <w:rsid w:val="0005357C"/>
    <w:rsid w:val="0006189C"/>
    <w:rsid w:val="00066FEB"/>
    <w:rsid w:val="0007245E"/>
    <w:rsid w:val="00077026"/>
    <w:rsid w:val="000917C5"/>
    <w:rsid w:val="00095478"/>
    <w:rsid w:val="000A0243"/>
    <w:rsid w:val="000A51EE"/>
    <w:rsid w:val="000B6DBC"/>
    <w:rsid w:val="000C22D4"/>
    <w:rsid w:val="000C2399"/>
    <w:rsid w:val="000D7235"/>
    <w:rsid w:val="000F523C"/>
    <w:rsid w:val="00107704"/>
    <w:rsid w:val="00115BB8"/>
    <w:rsid w:val="00130823"/>
    <w:rsid w:val="00136243"/>
    <w:rsid w:val="001404E9"/>
    <w:rsid w:val="001415E8"/>
    <w:rsid w:val="001461C4"/>
    <w:rsid w:val="00150351"/>
    <w:rsid w:val="00150BAC"/>
    <w:rsid w:val="0015112E"/>
    <w:rsid w:val="00153813"/>
    <w:rsid w:val="001647B2"/>
    <w:rsid w:val="001750DB"/>
    <w:rsid w:val="001A269A"/>
    <w:rsid w:val="001B2861"/>
    <w:rsid w:val="001C5E5F"/>
    <w:rsid w:val="001E3754"/>
    <w:rsid w:val="001E5795"/>
    <w:rsid w:val="00201818"/>
    <w:rsid w:val="00203D4C"/>
    <w:rsid w:val="00204B30"/>
    <w:rsid w:val="00215CA7"/>
    <w:rsid w:val="00243E5A"/>
    <w:rsid w:val="0026519D"/>
    <w:rsid w:val="002743F0"/>
    <w:rsid w:val="0028244E"/>
    <w:rsid w:val="002834C7"/>
    <w:rsid w:val="002B5755"/>
    <w:rsid w:val="002C3FCD"/>
    <w:rsid w:val="002C658D"/>
    <w:rsid w:val="002E27F4"/>
    <w:rsid w:val="00301A17"/>
    <w:rsid w:val="0030749A"/>
    <w:rsid w:val="00317AE9"/>
    <w:rsid w:val="003344B1"/>
    <w:rsid w:val="003350FC"/>
    <w:rsid w:val="00361677"/>
    <w:rsid w:val="00361947"/>
    <w:rsid w:val="0039469C"/>
    <w:rsid w:val="003A239B"/>
    <w:rsid w:val="003A4FC2"/>
    <w:rsid w:val="003A6B69"/>
    <w:rsid w:val="003A73A3"/>
    <w:rsid w:val="003B3A90"/>
    <w:rsid w:val="003B7E12"/>
    <w:rsid w:val="003C5E4F"/>
    <w:rsid w:val="003E482E"/>
    <w:rsid w:val="003E5586"/>
    <w:rsid w:val="003F6880"/>
    <w:rsid w:val="00402836"/>
    <w:rsid w:val="00404C67"/>
    <w:rsid w:val="00407FEF"/>
    <w:rsid w:val="00410F36"/>
    <w:rsid w:val="00431402"/>
    <w:rsid w:val="004338D3"/>
    <w:rsid w:val="00474BD2"/>
    <w:rsid w:val="004902CC"/>
    <w:rsid w:val="004960CC"/>
    <w:rsid w:val="004A0AE1"/>
    <w:rsid w:val="004B146E"/>
    <w:rsid w:val="004B5302"/>
    <w:rsid w:val="004C0374"/>
    <w:rsid w:val="004C16FC"/>
    <w:rsid w:val="004C4DAC"/>
    <w:rsid w:val="004D3D3D"/>
    <w:rsid w:val="004E11F7"/>
    <w:rsid w:val="004E437E"/>
    <w:rsid w:val="004F1623"/>
    <w:rsid w:val="004F3A4F"/>
    <w:rsid w:val="004F4D0C"/>
    <w:rsid w:val="00504855"/>
    <w:rsid w:val="00542A8A"/>
    <w:rsid w:val="005505D8"/>
    <w:rsid w:val="00565A0F"/>
    <w:rsid w:val="00580E85"/>
    <w:rsid w:val="00587B54"/>
    <w:rsid w:val="0059595F"/>
    <w:rsid w:val="005A095B"/>
    <w:rsid w:val="005B0483"/>
    <w:rsid w:val="005B12DF"/>
    <w:rsid w:val="005B5A42"/>
    <w:rsid w:val="005E0E54"/>
    <w:rsid w:val="005F3A01"/>
    <w:rsid w:val="005F3D8F"/>
    <w:rsid w:val="005F5026"/>
    <w:rsid w:val="00603574"/>
    <w:rsid w:val="00604030"/>
    <w:rsid w:val="0061106D"/>
    <w:rsid w:val="006138F6"/>
    <w:rsid w:val="00616DDC"/>
    <w:rsid w:val="006311D3"/>
    <w:rsid w:val="00646413"/>
    <w:rsid w:val="00646E93"/>
    <w:rsid w:val="006546D7"/>
    <w:rsid w:val="006626F6"/>
    <w:rsid w:val="0066608F"/>
    <w:rsid w:val="00666E7F"/>
    <w:rsid w:val="006750E7"/>
    <w:rsid w:val="00683C0D"/>
    <w:rsid w:val="006B102C"/>
    <w:rsid w:val="006C2A45"/>
    <w:rsid w:val="006D1B56"/>
    <w:rsid w:val="006D3D78"/>
    <w:rsid w:val="006E0C49"/>
    <w:rsid w:val="006E2697"/>
    <w:rsid w:val="006F041C"/>
    <w:rsid w:val="0072502B"/>
    <w:rsid w:val="00731C69"/>
    <w:rsid w:val="00744052"/>
    <w:rsid w:val="00744C4C"/>
    <w:rsid w:val="0074738C"/>
    <w:rsid w:val="00762F0E"/>
    <w:rsid w:val="00766A65"/>
    <w:rsid w:val="00772E41"/>
    <w:rsid w:val="007807C8"/>
    <w:rsid w:val="00787B70"/>
    <w:rsid w:val="00797B62"/>
    <w:rsid w:val="007B2141"/>
    <w:rsid w:val="007C003C"/>
    <w:rsid w:val="007D1EEC"/>
    <w:rsid w:val="007D2C30"/>
    <w:rsid w:val="007E4245"/>
    <w:rsid w:val="007F0D4E"/>
    <w:rsid w:val="007F39DD"/>
    <w:rsid w:val="007F54C4"/>
    <w:rsid w:val="008074ED"/>
    <w:rsid w:val="0082410B"/>
    <w:rsid w:val="008312E6"/>
    <w:rsid w:val="00835EB9"/>
    <w:rsid w:val="0085444B"/>
    <w:rsid w:val="0087617C"/>
    <w:rsid w:val="008910FC"/>
    <w:rsid w:val="0089361D"/>
    <w:rsid w:val="008B3C12"/>
    <w:rsid w:val="008C3FD7"/>
    <w:rsid w:val="008D55D2"/>
    <w:rsid w:val="008E2CFB"/>
    <w:rsid w:val="008E3D5C"/>
    <w:rsid w:val="008E47C4"/>
    <w:rsid w:val="009010D1"/>
    <w:rsid w:val="00902547"/>
    <w:rsid w:val="00912292"/>
    <w:rsid w:val="009252C3"/>
    <w:rsid w:val="00925B8B"/>
    <w:rsid w:val="009315FE"/>
    <w:rsid w:val="00931868"/>
    <w:rsid w:val="00932195"/>
    <w:rsid w:val="00950CF7"/>
    <w:rsid w:val="00965333"/>
    <w:rsid w:val="00966A38"/>
    <w:rsid w:val="00990745"/>
    <w:rsid w:val="00991B65"/>
    <w:rsid w:val="009A5CB7"/>
    <w:rsid w:val="009C65E9"/>
    <w:rsid w:val="009C6D8C"/>
    <w:rsid w:val="009C7CC9"/>
    <w:rsid w:val="009E799D"/>
    <w:rsid w:val="00A12774"/>
    <w:rsid w:val="00A27D62"/>
    <w:rsid w:val="00A53189"/>
    <w:rsid w:val="00A533D4"/>
    <w:rsid w:val="00A556B2"/>
    <w:rsid w:val="00A55FDB"/>
    <w:rsid w:val="00A6219D"/>
    <w:rsid w:val="00A836A2"/>
    <w:rsid w:val="00A9480C"/>
    <w:rsid w:val="00AD06C7"/>
    <w:rsid w:val="00AF5506"/>
    <w:rsid w:val="00B352B1"/>
    <w:rsid w:val="00B36AD5"/>
    <w:rsid w:val="00B54D9F"/>
    <w:rsid w:val="00B6682F"/>
    <w:rsid w:val="00B7231F"/>
    <w:rsid w:val="00B75F45"/>
    <w:rsid w:val="00B924BB"/>
    <w:rsid w:val="00B94D49"/>
    <w:rsid w:val="00BB2AC3"/>
    <w:rsid w:val="00BC4AC7"/>
    <w:rsid w:val="00BE6454"/>
    <w:rsid w:val="00BF1B5B"/>
    <w:rsid w:val="00BF312E"/>
    <w:rsid w:val="00C1003D"/>
    <w:rsid w:val="00C22A72"/>
    <w:rsid w:val="00C412F4"/>
    <w:rsid w:val="00C63524"/>
    <w:rsid w:val="00C720E7"/>
    <w:rsid w:val="00C8248F"/>
    <w:rsid w:val="00C837C5"/>
    <w:rsid w:val="00C86B52"/>
    <w:rsid w:val="00C87F57"/>
    <w:rsid w:val="00C9188B"/>
    <w:rsid w:val="00CE017D"/>
    <w:rsid w:val="00CE1678"/>
    <w:rsid w:val="00D12354"/>
    <w:rsid w:val="00D129E2"/>
    <w:rsid w:val="00D33248"/>
    <w:rsid w:val="00D609B6"/>
    <w:rsid w:val="00DA59C1"/>
    <w:rsid w:val="00DA5F61"/>
    <w:rsid w:val="00DB5992"/>
    <w:rsid w:val="00DC0A56"/>
    <w:rsid w:val="00DE60FA"/>
    <w:rsid w:val="00DF035A"/>
    <w:rsid w:val="00DF0521"/>
    <w:rsid w:val="00DF5791"/>
    <w:rsid w:val="00E0247E"/>
    <w:rsid w:val="00E03E19"/>
    <w:rsid w:val="00E14545"/>
    <w:rsid w:val="00E302F1"/>
    <w:rsid w:val="00E31E4F"/>
    <w:rsid w:val="00E41873"/>
    <w:rsid w:val="00E51347"/>
    <w:rsid w:val="00E8356A"/>
    <w:rsid w:val="00EC66F0"/>
    <w:rsid w:val="00EC6934"/>
    <w:rsid w:val="00ED7E5A"/>
    <w:rsid w:val="00EF20E0"/>
    <w:rsid w:val="00F0515A"/>
    <w:rsid w:val="00F215C9"/>
    <w:rsid w:val="00F25040"/>
    <w:rsid w:val="00F3295B"/>
    <w:rsid w:val="00F35B20"/>
    <w:rsid w:val="00F37F25"/>
    <w:rsid w:val="00F507B8"/>
    <w:rsid w:val="00F61E71"/>
    <w:rsid w:val="00F8038E"/>
    <w:rsid w:val="00F80AF9"/>
    <w:rsid w:val="00F85743"/>
    <w:rsid w:val="00FB7B18"/>
    <w:rsid w:val="00FC75BE"/>
    <w:rsid w:val="00FD0461"/>
    <w:rsid w:val="00FF579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1FB5B"/>
  <w15:chartTrackingRefBased/>
  <w15:docId w15:val="{5C7AB706-287D-40D2-9258-C21710DA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lsdException w:name="header" w:semiHidden="1" w:unhideWhenUsed="1"/>
    <w:lsdException w:name="index heading" w:semiHidden="1"/>
    <w:lsdException w:name="caption" w:uiPriority="35"/>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rsid w:val="004B146E"/>
    <w:pPr>
      <w:spacing w:after="0" w:line="240" w:lineRule="auto"/>
    </w:pPr>
    <w:rPr>
      <w:rFonts w:ascii="Arial" w:hAnsi="Arial"/>
    </w:rPr>
  </w:style>
  <w:style w:type="paragraph" w:styleId="Heading1">
    <w:name w:val="heading 1"/>
    <w:basedOn w:val="Normal"/>
    <w:next w:val="Heading2"/>
    <w:link w:val="Heading1Char"/>
    <w:uiPriority w:val="1"/>
    <w:qFormat/>
    <w:rsid w:val="002E27F4"/>
    <w:pPr>
      <w:keepNext/>
      <w:pageBreakBefore/>
      <w:spacing w:after="227"/>
      <w:outlineLvl w:val="0"/>
    </w:pPr>
    <w:rPr>
      <w:rFonts w:eastAsiaTheme="majorEastAsia" w:cstheme="majorBidi"/>
      <w:b/>
      <w:color w:val="003C71"/>
      <w:sz w:val="36"/>
      <w:szCs w:val="32"/>
    </w:rPr>
  </w:style>
  <w:style w:type="paragraph" w:styleId="Heading2">
    <w:name w:val="heading 2"/>
    <w:basedOn w:val="Normal"/>
    <w:next w:val="BodyText"/>
    <w:link w:val="Heading2Char"/>
    <w:uiPriority w:val="1"/>
    <w:qFormat/>
    <w:rsid w:val="002E27F4"/>
    <w:pPr>
      <w:keepNext/>
      <w:spacing w:before="240" w:after="120"/>
      <w:outlineLvl w:val="1"/>
    </w:pPr>
    <w:rPr>
      <w:rFonts w:eastAsiaTheme="majorEastAsia" w:cstheme="majorBidi"/>
      <w:b/>
      <w:color w:val="00519A"/>
      <w:sz w:val="32"/>
      <w:szCs w:val="26"/>
    </w:rPr>
  </w:style>
  <w:style w:type="paragraph" w:styleId="Heading3">
    <w:name w:val="heading 3"/>
    <w:basedOn w:val="Normal"/>
    <w:next w:val="BodyText"/>
    <w:link w:val="Heading3Char"/>
    <w:uiPriority w:val="1"/>
    <w:qFormat/>
    <w:rsid w:val="002E27F4"/>
    <w:pPr>
      <w:keepNext/>
      <w:spacing w:before="240" w:after="120"/>
      <w:outlineLvl w:val="2"/>
    </w:pPr>
    <w:rPr>
      <w:rFonts w:eastAsiaTheme="majorEastAsia" w:cstheme="majorBidi"/>
      <w:b/>
      <w:color w:val="00519A"/>
      <w:sz w:val="24"/>
      <w:szCs w:val="24"/>
    </w:rPr>
  </w:style>
  <w:style w:type="paragraph" w:styleId="Heading4">
    <w:name w:val="heading 4"/>
    <w:basedOn w:val="Normal"/>
    <w:next w:val="Normal"/>
    <w:link w:val="Heading4Char"/>
    <w:uiPriority w:val="1"/>
    <w:qFormat/>
    <w:rsid w:val="002E27F4"/>
    <w:pPr>
      <w:keepNext/>
      <w:keepLines/>
      <w:spacing w:before="240" w:after="120"/>
      <w:outlineLvl w:val="3"/>
    </w:pPr>
    <w:rPr>
      <w:rFonts w:asciiTheme="majorHAnsi" w:eastAsiaTheme="majorEastAsia" w:hAnsiTheme="majorHAnsi" w:cstheme="majorBidi"/>
      <w:i/>
      <w:iCs/>
      <w:color w:val="00519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B146E"/>
    <w:pPr>
      <w:spacing w:after="170" w:line="240" w:lineRule="atLeast"/>
    </w:pPr>
    <w:rPr>
      <w:color w:val="000000" w:themeColor="text1"/>
    </w:rPr>
  </w:style>
  <w:style w:type="character" w:customStyle="1" w:styleId="BodyTextChar">
    <w:name w:val="Body Text Char"/>
    <w:basedOn w:val="DefaultParagraphFont"/>
    <w:link w:val="BodyText"/>
    <w:rsid w:val="002E27F4"/>
    <w:rPr>
      <w:rFonts w:ascii="Arial" w:hAnsi="Arial"/>
      <w:color w:val="000000" w:themeColor="text1"/>
    </w:rPr>
  </w:style>
  <w:style w:type="table" w:styleId="TableGrid">
    <w:name w:val="Table Grid"/>
    <w:basedOn w:val="TableNormal"/>
    <w:uiPriority w:val="39"/>
    <w:rsid w:val="002E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ype">
    <w:name w:val="Report Type"/>
    <w:basedOn w:val="Normal"/>
    <w:uiPriority w:val="2"/>
    <w:semiHidden/>
    <w:rsid w:val="002E27F4"/>
    <w:pPr>
      <w:jc w:val="right"/>
    </w:pPr>
    <w:rPr>
      <w:color w:val="FFFFFF" w:themeColor="background1"/>
      <w:sz w:val="48"/>
    </w:rPr>
  </w:style>
  <w:style w:type="paragraph" w:customStyle="1" w:styleId="ReportTitle">
    <w:name w:val="Report Title"/>
    <w:basedOn w:val="Normal"/>
    <w:uiPriority w:val="2"/>
    <w:semiHidden/>
    <w:rsid w:val="002E27F4"/>
    <w:pPr>
      <w:ind w:left="3969"/>
      <w:jc w:val="right"/>
    </w:pPr>
    <w:rPr>
      <w:b/>
      <w:color w:val="003C71"/>
      <w:sz w:val="72"/>
    </w:rPr>
  </w:style>
  <w:style w:type="paragraph" w:customStyle="1" w:styleId="CoverPage-Tiny">
    <w:name w:val="Cover Page - Tiny"/>
    <w:basedOn w:val="Normal"/>
    <w:uiPriority w:val="99"/>
    <w:semiHidden/>
    <w:rsid w:val="002E27F4"/>
    <w:rPr>
      <w:sz w:val="2"/>
    </w:rPr>
  </w:style>
  <w:style w:type="paragraph" w:styleId="Header">
    <w:name w:val="header"/>
    <w:basedOn w:val="Normal"/>
    <w:link w:val="HeaderChar"/>
    <w:uiPriority w:val="99"/>
    <w:semiHidden/>
    <w:rsid w:val="002E27F4"/>
    <w:pPr>
      <w:tabs>
        <w:tab w:val="center" w:pos="4513"/>
        <w:tab w:val="right" w:pos="9026"/>
      </w:tabs>
    </w:pPr>
  </w:style>
  <w:style w:type="character" w:customStyle="1" w:styleId="HeaderChar">
    <w:name w:val="Header Char"/>
    <w:basedOn w:val="DefaultParagraphFont"/>
    <w:link w:val="Header"/>
    <w:uiPriority w:val="99"/>
    <w:semiHidden/>
    <w:rsid w:val="002E27F4"/>
    <w:rPr>
      <w:rFonts w:ascii="Arial" w:hAnsi="Arial"/>
    </w:rPr>
  </w:style>
  <w:style w:type="paragraph" w:styleId="Footer">
    <w:name w:val="footer"/>
    <w:basedOn w:val="Normal"/>
    <w:link w:val="FooterChar"/>
    <w:uiPriority w:val="99"/>
    <w:semiHidden/>
    <w:rsid w:val="002E27F4"/>
    <w:pPr>
      <w:tabs>
        <w:tab w:val="center" w:pos="4513"/>
        <w:tab w:val="right" w:pos="9026"/>
      </w:tabs>
    </w:pPr>
    <w:rPr>
      <w:sz w:val="18"/>
    </w:rPr>
  </w:style>
  <w:style w:type="character" w:customStyle="1" w:styleId="FooterChar">
    <w:name w:val="Footer Char"/>
    <w:basedOn w:val="DefaultParagraphFont"/>
    <w:link w:val="Footer"/>
    <w:uiPriority w:val="99"/>
    <w:semiHidden/>
    <w:rsid w:val="002E27F4"/>
    <w:rPr>
      <w:rFonts w:ascii="Arial" w:hAnsi="Arial"/>
      <w:sz w:val="18"/>
    </w:rPr>
  </w:style>
  <w:style w:type="paragraph" w:customStyle="1" w:styleId="ReportNumber">
    <w:name w:val="Report Number"/>
    <w:basedOn w:val="Normal"/>
    <w:uiPriority w:val="2"/>
    <w:semiHidden/>
    <w:rsid w:val="002E27F4"/>
    <w:pPr>
      <w:jc w:val="right"/>
    </w:pPr>
    <w:rPr>
      <w:sz w:val="16"/>
    </w:rPr>
  </w:style>
  <w:style w:type="paragraph" w:customStyle="1" w:styleId="ReportDate">
    <w:name w:val="Report Date"/>
    <w:basedOn w:val="Normal"/>
    <w:uiPriority w:val="2"/>
    <w:semiHidden/>
    <w:rsid w:val="002E27F4"/>
    <w:pPr>
      <w:jc w:val="right"/>
    </w:pPr>
    <w:rPr>
      <w:sz w:val="16"/>
    </w:rPr>
  </w:style>
  <w:style w:type="paragraph" w:styleId="ListParagraph">
    <w:name w:val="List Paragraph"/>
    <w:basedOn w:val="Normal"/>
    <w:uiPriority w:val="34"/>
    <w:semiHidden/>
    <w:qFormat/>
    <w:rsid w:val="002E27F4"/>
    <w:pPr>
      <w:ind w:left="720"/>
      <w:contextualSpacing/>
    </w:pPr>
  </w:style>
  <w:style w:type="paragraph" w:customStyle="1" w:styleId="ReportDetail-FC">
    <w:name w:val="Report Detail - FC"/>
    <w:basedOn w:val="Subtitle"/>
    <w:uiPriority w:val="2"/>
    <w:semiHidden/>
    <w:rsid w:val="002E27F4"/>
    <w:pPr>
      <w:jc w:val="right"/>
    </w:pPr>
    <w:rPr>
      <w:rFonts w:ascii="Arial" w:hAnsi="Arial" w:cs="Arial"/>
      <w:b/>
      <w:color w:val="FFFFFF" w:themeColor="background1"/>
      <w:sz w:val="28"/>
      <w:szCs w:val="32"/>
    </w:rPr>
  </w:style>
  <w:style w:type="paragraph" w:styleId="Subtitle">
    <w:name w:val="Subtitle"/>
    <w:basedOn w:val="Normal"/>
    <w:next w:val="Normal"/>
    <w:link w:val="SubtitleChar"/>
    <w:uiPriority w:val="11"/>
    <w:semiHidden/>
    <w:rsid w:val="002E27F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semiHidden/>
    <w:rsid w:val="002E27F4"/>
    <w:rPr>
      <w:rFonts w:eastAsiaTheme="minorEastAsia"/>
      <w:color w:val="5A5A5A" w:themeColor="text1" w:themeTint="A5"/>
      <w:spacing w:val="15"/>
    </w:rPr>
  </w:style>
  <w:style w:type="character" w:customStyle="1" w:styleId="Heading1Char">
    <w:name w:val="Heading 1 Char"/>
    <w:basedOn w:val="DefaultParagraphFont"/>
    <w:link w:val="Heading1"/>
    <w:uiPriority w:val="1"/>
    <w:rsid w:val="002E27F4"/>
    <w:rPr>
      <w:rFonts w:ascii="Arial" w:eastAsiaTheme="majorEastAsia" w:hAnsi="Arial" w:cstheme="majorBidi"/>
      <w:b/>
      <w:color w:val="003C71"/>
      <w:sz w:val="36"/>
      <w:szCs w:val="32"/>
    </w:rPr>
  </w:style>
  <w:style w:type="paragraph" w:customStyle="1" w:styleId="OfficeTitle-IC">
    <w:name w:val="Office Title - IC"/>
    <w:basedOn w:val="Normal"/>
    <w:uiPriority w:val="2"/>
    <w:semiHidden/>
    <w:rsid w:val="002E27F4"/>
    <w:rPr>
      <w:b/>
      <w:color w:val="7BAFD4"/>
      <w:sz w:val="28"/>
    </w:rPr>
  </w:style>
  <w:style w:type="paragraph" w:customStyle="1" w:styleId="OfficeDetail">
    <w:name w:val="Office Detail"/>
    <w:basedOn w:val="Normal"/>
    <w:uiPriority w:val="2"/>
    <w:semiHidden/>
    <w:rsid w:val="002E27F4"/>
    <w:pPr>
      <w:ind w:right="4820"/>
    </w:pPr>
    <w:rPr>
      <w:color w:val="000000" w:themeColor="text1"/>
    </w:rPr>
  </w:style>
  <w:style w:type="character" w:styleId="Hyperlink">
    <w:name w:val="Hyperlink"/>
    <w:basedOn w:val="DefaultParagraphFont"/>
    <w:uiPriority w:val="99"/>
    <w:unhideWhenUsed/>
    <w:rsid w:val="002E27F4"/>
    <w:rPr>
      <w:color w:val="0563C1" w:themeColor="hyperlink"/>
      <w:u w:val="single"/>
    </w:rPr>
  </w:style>
  <w:style w:type="paragraph" w:customStyle="1" w:styleId="OfficeSmallText-IC">
    <w:name w:val="Office Small Text - IC"/>
    <w:basedOn w:val="OfficeDetail"/>
    <w:uiPriority w:val="2"/>
    <w:semiHidden/>
    <w:rsid w:val="002E27F4"/>
    <w:rPr>
      <w:sz w:val="20"/>
    </w:rPr>
  </w:style>
  <w:style w:type="character" w:customStyle="1" w:styleId="LightBlue">
    <w:name w:val="Light Blue"/>
    <w:basedOn w:val="DefaultParagraphFont"/>
    <w:uiPriority w:val="1"/>
    <w:qFormat/>
    <w:rsid w:val="002E27F4"/>
    <w:rPr>
      <w:b/>
      <w:color w:val="00519A"/>
    </w:rPr>
  </w:style>
  <w:style w:type="paragraph" w:customStyle="1" w:styleId="TitlePageText">
    <w:name w:val="Title Page Text"/>
    <w:basedOn w:val="Normal"/>
    <w:uiPriority w:val="2"/>
    <w:semiHidden/>
    <w:rsid w:val="002E27F4"/>
    <w:pPr>
      <w:jc w:val="center"/>
    </w:pPr>
    <w:rPr>
      <w:color w:val="00519A"/>
      <w:sz w:val="28"/>
      <w:szCs w:val="32"/>
    </w:rPr>
  </w:style>
  <w:style w:type="paragraph" w:styleId="Title">
    <w:name w:val="Title"/>
    <w:basedOn w:val="Normal"/>
    <w:next w:val="Normal"/>
    <w:link w:val="TitleChar"/>
    <w:uiPriority w:val="2"/>
    <w:semiHidden/>
    <w:rsid w:val="002E27F4"/>
    <w:pPr>
      <w:jc w:val="center"/>
    </w:pPr>
    <w:rPr>
      <w:b/>
      <w:color w:val="003C71"/>
      <w:sz w:val="36"/>
      <w:szCs w:val="36"/>
    </w:rPr>
  </w:style>
  <w:style w:type="character" w:customStyle="1" w:styleId="TitleChar">
    <w:name w:val="Title Char"/>
    <w:basedOn w:val="DefaultParagraphFont"/>
    <w:link w:val="Title"/>
    <w:uiPriority w:val="2"/>
    <w:semiHidden/>
    <w:rsid w:val="002E27F4"/>
    <w:rPr>
      <w:rFonts w:ascii="Arial" w:hAnsi="Arial"/>
      <w:b/>
      <w:color w:val="003C71"/>
      <w:sz w:val="36"/>
      <w:szCs w:val="36"/>
    </w:rPr>
  </w:style>
  <w:style w:type="paragraph" w:customStyle="1" w:styleId="Contents">
    <w:name w:val="Contents"/>
    <w:basedOn w:val="Normal"/>
    <w:uiPriority w:val="3"/>
    <w:semiHidden/>
    <w:rsid w:val="002E27F4"/>
    <w:pPr>
      <w:spacing w:after="227"/>
      <w:jc w:val="both"/>
    </w:pPr>
    <w:rPr>
      <w:b/>
      <w:color w:val="003C71"/>
      <w:sz w:val="36"/>
    </w:rPr>
  </w:style>
  <w:style w:type="paragraph" w:styleId="TOC1">
    <w:name w:val="toc 1"/>
    <w:basedOn w:val="Normal"/>
    <w:next w:val="Normal"/>
    <w:link w:val="TOC1Char"/>
    <w:autoRedefine/>
    <w:uiPriority w:val="39"/>
    <w:unhideWhenUsed/>
    <w:qFormat/>
    <w:rsid w:val="002E27F4"/>
    <w:pPr>
      <w:keepNext/>
      <w:tabs>
        <w:tab w:val="right" w:leader="dot" w:pos="9060"/>
      </w:tabs>
      <w:spacing w:after="227"/>
      <w:jc w:val="both"/>
    </w:pPr>
    <w:rPr>
      <w:color w:val="00519A"/>
      <w:sz w:val="24"/>
    </w:rPr>
  </w:style>
  <w:style w:type="character" w:customStyle="1" w:styleId="Heading2Char">
    <w:name w:val="Heading 2 Char"/>
    <w:basedOn w:val="DefaultParagraphFont"/>
    <w:link w:val="Heading2"/>
    <w:uiPriority w:val="1"/>
    <w:rsid w:val="002E27F4"/>
    <w:rPr>
      <w:rFonts w:ascii="Arial" w:eastAsiaTheme="majorEastAsia" w:hAnsi="Arial" w:cstheme="majorBidi"/>
      <w:b/>
      <w:color w:val="00519A"/>
      <w:sz w:val="32"/>
      <w:szCs w:val="26"/>
    </w:rPr>
  </w:style>
  <w:style w:type="paragraph" w:styleId="TOC2">
    <w:name w:val="toc 2"/>
    <w:basedOn w:val="Normal"/>
    <w:next w:val="Normal"/>
    <w:autoRedefine/>
    <w:uiPriority w:val="39"/>
    <w:unhideWhenUsed/>
    <w:qFormat/>
    <w:rsid w:val="002E27F4"/>
    <w:pPr>
      <w:tabs>
        <w:tab w:val="right" w:leader="dot" w:pos="9060"/>
      </w:tabs>
      <w:spacing w:after="170"/>
      <w:ind w:left="567"/>
    </w:pPr>
    <w:rPr>
      <w:color w:val="000000" w:themeColor="text1"/>
    </w:rPr>
  </w:style>
  <w:style w:type="character" w:customStyle="1" w:styleId="Heading3Char">
    <w:name w:val="Heading 3 Char"/>
    <w:basedOn w:val="DefaultParagraphFont"/>
    <w:link w:val="Heading3"/>
    <w:uiPriority w:val="9"/>
    <w:rsid w:val="002E27F4"/>
    <w:rPr>
      <w:rFonts w:ascii="Arial" w:eastAsiaTheme="majorEastAsia" w:hAnsi="Arial" w:cstheme="majorBidi"/>
      <w:b/>
      <w:color w:val="00519A"/>
      <w:sz w:val="24"/>
      <w:szCs w:val="24"/>
    </w:rPr>
  </w:style>
  <w:style w:type="paragraph" w:customStyle="1" w:styleId="Bullet1">
    <w:name w:val="Bullet 1"/>
    <w:basedOn w:val="BodyText"/>
    <w:qFormat/>
    <w:rsid w:val="002E27F4"/>
    <w:pPr>
      <w:numPr>
        <w:numId w:val="2"/>
      </w:numPr>
      <w:tabs>
        <w:tab w:val="clear" w:pos="284"/>
      </w:tabs>
      <w:ind w:left="547" w:hanging="547"/>
    </w:pPr>
  </w:style>
  <w:style w:type="paragraph" w:customStyle="1" w:styleId="Bullet2">
    <w:name w:val="Bullet 2"/>
    <w:basedOn w:val="BodyText"/>
    <w:qFormat/>
    <w:rsid w:val="002E27F4"/>
    <w:pPr>
      <w:numPr>
        <w:numId w:val="3"/>
      </w:numPr>
      <w:tabs>
        <w:tab w:val="clear" w:pos="567"/>
      </w:tabs>
      <w:ind w:left="1094" w:hanging="547"/>
    </w:pPr>
  </w:style>
  <w:style w:type="paragraph" w:customStyle="1" w:styleId="Recommendations">
    <w:name w:val="Recommendations"/>
    <w:basedOn w:val="Heading2"/>
    <w:uiPriority w:val="1"/>
    <w:qFormat/>
    <w:rsid w:val="002E27F4"/>
    <w:pPr>
      <w:pageBreakBefore/>
      <w:pBdr>
        <w:top w:val="single" w:sz="24" w:space="11" w:color="003C71"/>
      </w:pBdr>
    </w:pPr>
  </w:style>
  <w:style w:type="paragraph" w:customStyle="1" w:styleId="RecommendationsText">
    <w:name w:val="Recommendations Text"/>
    <w:basedOn w:val="BodyText"/>
    <w:uiPriority w:val="1"/>
    <w:qFormat/>
    <w:rsid w:val="002E27F4"/>
    <w:pPr>
      <w:numPr>
        <w:numId w:val="24"/>
      </w:numPr>
    </w:pPr>
    <w:rPr>
      <w:color w:val="00519A"/>
    </w:rPr>
  </w:style>
  <w:style w:type="paragraph" w:customStyle="1" w:styleId="RecommendationsBullet1">
    <w:name w:val="Recommendations Bullet 1"/>
    <w:basedOn w:val="Bullet1"/>
    <w:uiPriority w:val="1"/>
    <w:qFormat/>
    <w:rsid w:val="002E27F4"/>
    <w:pPr>
      <w:numPr>
        <w:ilvl w:val="1"/>
        <w:numId w:val="24"/>
      </w:numPr>
    </w:pPr>
    <w:rPr>
      <w:color w:val="00519A"/>
    </w:rPr>
  </w:style>
  <w:style w:type="paragraph" w:customStyle="1" w:styleId="Response">
    <w:name w:val="Response"/>
    <w:basedOn w:val="Heading2"/>
    <w:next w:val="BodyText"/>
    <w:uiPriority w:val="1"/>
    <w:qFormat/>
    <w:rsid w:val="002E27F4"/>
    <w:pPr>
      <w:pageBreakBefore/>
    </w:pPr>
    <w:rPr>
      <w:rFonts w:ascii="Arial Bold" w:hAnsi="Arial Bold"/>
    </w:rPr>
  </w:style>
  <w:style w:type="paragraph" w:styleId="Quote">
    <w:name w:val="Quote"/>
    <w:basedOn w:val="Normal"/>
    <w:next w:val="BodyText"/>
    <w:link w:val="QuoteChar"/>
    <w:uiPriority w:val="1"/>
    <w:qFormat/>
    <w:rsid w:val="002E27F4"/>
    <w:pPr>
      <w:spacing w:after="170"/>
      <w:ind w:left="567" w:right="567"/>
      <w:jc w:val="both"/>
    </w:pPr>
    <w:rPr>
      <w:iCs/>
      <w:color w:val="000000" w:themeColor="text1"/>
    </w:rPr>
  </w:style>
  <w:style w:type="character" w:customStyle="1" w:styleId="QuoteChar">
    <w:name w:val="Quote Char"/>
    <w:basedOn w:val="DefaultParagraphFont"/>
    <w:link w:val="Quote"/>
    <w:uiPriority w:val="1"/>
    <w:rsid w:val="002E27F4"/>
    <w:rPr>
      <w:rFonts w:ascii="Arial" w:hAnsi="Arial"/>
      <w:iCs/>
      <w:color w:val="000000" w:themeColor="text1"/>
    </w:rPr>
  </w:style>
  <w:style w:type="paragraph" w:styleId="FootnoteText">
    <w:name w:val="footnote text"/>
    <w:basedOn w:val="Normal"/>
    <w:link w:val="FootnoteTextChar"/>
    <w:uiPriority w:val="99"/>
    <w:rsid w:val="002E27F4"/>
    <w:pPr>
      <w:spacing w:after="170"/>
      <w:jc w:val="both"/>
    </w:pPr>
    <w:rPr>
      <w:color w:val="000000" w:themeColor="text1"/>
      <w:sz w:val="16"/>
      <w:szCs w:val="20"/>
    </w:rPr>
  </w:style>
  <w:style w:type="character" w:customStyle="1" w:styleId="FootnoteTextChar">
    <w:name w:val="Footnote Text Char"/>
    <w:basedOn w:val="DefaultParagraphFont"/>
    <w:link w:val="FootnoteText"/>
    <w:uiPriority w:val="99"/>
    <w:rsid w:val="002E27F4"/>
    <w:rPr>
      <w:rFonts w:ascii="Arial" w:hAnsi="Arial"/>
      <w:color w:val="000000" w:themeColor="text1"/>
      <w:sz w:val="16"/>
      <w:szCs w:val="20"/>
    </w:rPr>
  </w:style>
  <w:style w:type="character" w:styleId="FootnoteReference">
    <w:name w:val="footnote reference"/>
    <w:basedOn w:val="DefaultParagraphFont"/>
    <w:uiPriority w:val="99"/>
    <w:semiHidden/>
    <w:rsid w:val="002E27F4"/>
    <w:rPr>
      <w:vertAlign w:val="superscript"/>
    </w:rPr>
  </w:style>
  <w:style w:type="paragraph" w:customStyle="1" w:styleId="TableText">
    <w:name w:val="Table Text"/>
    <w:basedOn w:val="Normal"/>
    <w:uiPriority w:val="1"/>
    <w:qFormat/>
    <w:rsid w:val="002E27F4"/>
    <w:pPr>
      <w:spacing w:before="60" w:after="60"/>
    </w:pPr>
    <w:rPr>
      <w:sz w:val="20"/>
    </w:rPr>
  </w:style>
  <w:style w:type="paragraph" w:customStyle="1" w:styleId="TableHeading-White">
    <w:name w:val="Table Heading - White"/>
    <w:basedOn w:val="TableText"/>
    <w:uiPriority w:val="1"/>
    <w:qFormat/>
    <w:rsid w:val="002E27F4"/>
    <w:rPr>
      <w:b/>
      <w:color w:val="FFFFFF" w:themeColor="background1"/>
    </w:rPr>
  </w:style>
  <w:style w:type="paragraph" w:customStyle="1" w:styleId="TableSource">
    <w:name w:val="Table Source"/>
    <w:basedOn w:val="Normal"/>
    <w:uiPriority w:val="1"/>
    <w:qFormat/>
    <w:rsid w:val="002E27F4"/>
    <w:pPr>
      <w:spacing w:before="57" w:after="57"/>
      <w:jc w:val="right"/>
    </w:pPr>
    <w:rPr>
      <w:sz w:val="18"/>
    </w:rPr>
  </w:style>
  <w:style w:type="paragraph" w:customStyle="1" w:styleId="TableHeading-Black">
    <w:name w:val="Table Heading - Black"/>
    <w:basedOn w:val="TableText"/>
    <w:uiPriority w:val="1"/>
    <w:qFormat/>
    <w:rsid w:val="002E27F4"/>
    <w:rPr>
      <w:b/>
    </w:rPr>
  </w:style>
  <w:style w:type="paragraph" w:customStyle="1" w:styleId="NoteText">
    <w:name w:val="Note Text"/>
    <w:basedOn w:val="Normal"/>
    <w:uiPriority w:val="1"/>
    <w:qFormat/>
    <w:rsid w:val="002E27F4"/>
    <w:pPr>
      <w:spacing w:after="170"/>
      <w:jc w:val="both"/>
    </w:pPr>
    <w:rPr>
      <w:i/>
    </w:rPr>
  </w:style>
  <w:style w:type="paragraph" w:styleId="Caption">
    <w:name w:val="caption"/>
    <w:basedOn w:val="Normal"/>
    <w:next w:val="BodyText"/>
    <w:uiPriority w:val="99"/>
    <w:semiHidden/>
    <w:rsid w:val="002E27F4"/>
    <w:pPr>
      <w:spacing w:before="57" w:after="170"/>
      <w:jc w:val="both"/>
    </w:pPr>
    <w:rPr>
      <w:b/>
      <w:iCs/>
      <w:color w:val="000000" w:themeColor="text1"/>
      <w:sz w:val="20"/>
      <w:szCs w:val="18"/>
    </w:rPr>
  </w:style>
  <w:style w:type="paragraph" w:customStyle="1" w:styleId="OfficeTitle-BC">
    <w:name w:val="Office Title - BC"/>
    <w:basedOn w:val="OfficeTitle-IC"/>
    <w:uiPriority w:val="2"/>
    <w:semiHidden/>
    <w:rsid w:val="002E27F4"/>
    <w:rPr>
      <w:b w:val="0"/>
      <w:color w:val="000000" w:themeColor="text1"/>
    </w:rPr>
  </w:style>
  <w:style w:type="paragraph" w:customStyle="1" w:styleId="OfficeSmallText-BC">
    <w:name w:val="Office Small Text - BC"/>
    <w:basedOn w:val="Normal"/>
    <w:uiPriority w:val="2"/>
    <w:semiHidden/>
    <w:rsid w:val="002E27F4"/>
    <w:pPr>
      <w:ind w:right="4820"/>
    </w:pPr>
    <w:rPr>
      <w:color w:val="000000" w:themeColor="text1"/>
      <w:sz w:val="18"/>
    </w:rPr>
  </w:style>
  <w:style w:type="paragraph" w:customStyle="1" w:styleId="TableHeading-Blue">
    <w:name w:val="Table Heading - Blue"/>
    <w:basedOn w:val="TableText"/>
    <w:next w:val="TableText"/>
    <w:uiPriority w:val="1"/>
    <w:qFormat/>
    <w:rsid w:val="002E27F4"/>
    <w:rPr>
      <w:b/>
      <w:color w:val="00519A"/>
    </w:rPr>
  </w:style>
  <w:style w:type="character" w:styleId="PlaceholderText">
    <w:name w:val="Placeholder Text"/>
    <w:basedOn w:val="DefaultParagraphFont"/>
    <w:uiPriority w:val="99"/>
    <w:semiHidden/>
    <w:rsid w:val="002E27F4"/>
    <w:rPr>
      <w:color w:val="808080"/>
    </w:rPr>
  </w:style>
  <w:style w:type="table" w:customStyle="1" w:styleId="OAGTable">
    <w:name w:val="OAG Table"/>
    <w:basedOn w:val="TableNormal"/>
    <w:uiPriority w:val="99"/>
    <w:rsid w:val="002E27F4"/>
    <w:pPr>
      <w:spacing w:after="0" w:line="240" w:lineRule="auto"/>
    </w:pPr>
    <w:rPr>
      <w:rFonts w:ascii="Arial" w:hAnsi="Arial"/>
      <w:sz w:val="20"/>
    </w:rPr>
    <w:tblPr>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Pr>
    <w:tblStylePr w:type="firstRow">
      <w:rPr>
        <w:rFonts w:ascii="Arial" w:hAnsi="Arial"/>
        <w:b/>
        <w:color w:val="FFFFFF" w:themeColor="background1"/>
        <w:sz w:val="20"/>
      </w:rPr>
      <w:tblPr/>
      <w:tcPr>
        <w:shd w:val="clear" w:color="auto" w:fill="003C71"/>
      </w:tcPr>
    </w:tblStylePr>
  </w:style>
  <w:style w:type="paragraph" w:styleId="ListNumber">
    <w:name w:val="List Number"/>
    <w:basedOn w:val="Normal"/>
    <w:qFormat/>
    <w:rsid w:val="002E27F4"/>
    <w:pPr>
      <w:numPr>
        <w:numId w:val="9"/>
      </w:numPr>
      <w:tabs>
        <w:tab w:val="clear" w:pos="360"/>
      </w:tabs>
      <w:spacing w:after="170"/>
      <w:ind w:left="357" w:hanging="357"/>
    </w:pPr>
  </w:style>
  <w:style w:type="paragraph" w:customStyle="1" w:styleId="CaseStudyHeading">
    <w:name w:val="Case Study Heading"/>
    <w:basedOn w:val="BodyText"/>
    <w:next w:val="BodyText"/>
    <w:uiPriority w:val="2"/>
    <w:semiHidden/>
    <w:rsid w:val="002E27F4"/>
    <w:rPr>
      <w:color w:val="00519A"/>
    </w:rPr>
  </w:style>
  <w:style w:type="table" w:customStyle="1" w:styleId="CaseStudy">
    <w:name w:val="Case Study"/>
    <w:basedOn w:val="TableNormal"/>
    <w:uiPriority w:val="99"/>
    <w:rsid w:val="002E27F4"/>
    <w:pPr>
      <w:spacing w:after="0" w:line="240" w:lineRule="auto"/>
    </w:pPr>
    <w:tblPr>
      <w:tblCellMar>
        <w:top w:w="108" w:type="dxa"/>
        <w:bottom w:w="108" w:type="dxa"/>
      </w:tblCellMar>
    </w:tblPr>
    <w:tcPr>
      <w:shd w:val="clear" w:color="auto" w:fill="E8F2F8"/>
    </w:tcPr>
  </w:style>
  <w:style w:type="paragraph" w:customStyle="1" w:styleId="DraftConfidential">
    <w:name w:val="Draft Confidential"/>
    <w:basedOn w:val="Normal"/>
    <w:uiPriority w:val="2"/>
    <w:semiHidden/>
    <w:rsid w:val="002E27F4"/>
    <w:pPr>
      <w:spacing w:after="160"/>
      <w:jc w:val="center"/>
    </w:pPr>
    <w:rPr>
      <w:b/>
      <w:i/>
    </w:rPr>
  </w:style>
  <w:style w:type="character" w:customStyle="1" w:styleId="Heading4Char">
    <w:name w:val="Heading 4 Char"/>
    <w:basedOn w:val="DefaultParagraphFont"/>
    <w:link w:val="Heading4"/>
    <w:uiPriority w:val="1"/>
    <w:rsid w:val="002E27F4"/>
    <w:rPr>
      <w:rFonts w:asciiTheme="majorHAnsi" w:eastAsiaTheme="majorEastAsia" w:hAnsiTheme="majorHAnsi" w:cstheme="majorBidi"/>
      <w:i/>
      <w:iCs/>
      <w:color w:val="00519A"/>
    </w:rPr>
  </w:style>
  <w:style w:type="paragraph" w:customStyle="1" w:styleId="Figureheading">
    <w:name w:val="Figure heading"/>
    <w:basedOn w:val="Normal"/>
    <w:next w:val="BodyText"/>
    <w:uiPriority w:val="2"/>
    <w:qFormat/>
    <w:rsid w:val="002E27F4"/>
    <w:rPr>
      <w:b/>
      <w:sz w:val="20"/>
    </w:rPr>
  </w:style>
  <w:style w:type="paragraph" w:customStyle="1" w:styleId="Figuresource">
    <w:name w:val="Figure source"/>
    <w:basedOn w:val="Normal"/>
    <w:next w:val="BodyText"/>
    <w:uiPriority w:val="2"/>
    <w:rsid w:val="002E27F4"/>
    <w:pPr>
      <w:jc w:val="right"/>
    </w:pPr>
    <w:rPr>
      <w:sz w:val="18"/>
    </w:rPr>
  </w:style>
  <w:style w:type="paragraph" w:styleId="BalloonText">
    <w:name w:val="Balloon Text"/>
    <w:basedOn w:val="Normal"/>
    <w:link w:val="BalloonTextChar"/>
    <w:uiPriority w:val="99"/>
    <w:semiHidden/>
    <w:unhideWhenUsed/>
    <w:rsid w:val="002E2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F4"/>
    <w:rPr>
      <w:rFonts w:ascii="Segoe UI" w:hAnsi="Segoe UI" w:cs="Segoe UI"/>
      <w:sz w:val="18"/>
      <w:szCs w:val="18"/>
    </w:rPr>
  </w:style>
  <w:style w:type="paragraph" w:customStyle="1" w:styleId="Casestudy0">
    <w:name w:val="Case study"/>
    <w:basedOn w:val="Normal"/>
    <w:uiPriority w:val="2"/>
    <w:qFormat/>
    <w:rsid w:val="002E27F4"/>
    <w:rPr>
      <w:b/>
      <w:color w:val="003C71" w:themeColor="accent1"/>
    </w:rPr>
  </w:style>
  <w:style w:type="character" w:customStyle="1" w:styleId="TOC1Char">
    <w:name w:val="TOC 1 Char"/>
    <w:basedOn w:val="DefaultParagraphFont"/>
    <w:link w:val="TOC1"/>
    <w:uiPriority w:val="39"/>
    <w:rsid w:val="004B146E"/>
    <w:rPr>
      <w:rFonts w:ascii="Arial" w:hAnsi="Arial"/>
      <w:color w:val="00519A"/>
      <w:sz w:val="24"/>
    </w:rPr>
  </w:style>
  <w:style w:type="paragraph" w:customStyle="1" w:styleId="NoParagraphStyle">
    <w:name w:val="[No Paragraph Style]"/>
    <w:uiPriority w:val="99"/>
    <w:semiHidden/>
    <w:rsid w:val="004B146E"/>
    <w:pPr>
      <w:autoSpaceDE w:val="0"/>
      <w:autoSpaceDN w:val="0"/>
      <w:adjustRightInd w:val="0"/>
      <w:spacing w:after="0" w:line="288" w:lineRule="auto"/>
      <w:textAlignment w:val="center"/>
    </w:pPr>
    <w:rPr>
      <w:rFonts w:ascii="Minion Pro" w:hAnsi="Minion Pro" w:cs="Minion Pro"/>
      <w:color w:val="000000"/>
      <w:sz w:val="24"/>
      <w:szCs w:val="24"/>
      <w:lang w:val="en-GB"/>
    </w:rPr>
  </w:style>
  <w:style w:type="numbering" w:customStyle="1" w:styleId="BulletsList">
    <w:name w:val="Bullets List"/>
    <w:uiPriority w:val="99"/>
    <w:rsid w:val="004B146E"/>
    <w:pPr>
      <w:numPr>
        <w:numId w:val="25"/>
      </w:numPr>
    </w:pPr>
  </w:style>
  <w:style w:type="table" w:styleId="TableGridLight">
    <w:name w:val="Grid Table Light"/>
    <w:basedOn w:val="TableNormal"/>
    <w:uiPriority w:val="40"/>
    <w:rsid w:val="00DF03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AGTable3">
    <w:name w:val="OAG Table3"/>
    <w:basedOn w:val="TableNormal"/>
    <w:uiPriority w:val="99"/>
    <w:rsid w:val="00DF035A"/>
    <w:pPr>
      <w:spacing w:after="0" w:line="240" w:lineRule="auto"/>
    </w:pPr>
    <w:rPr>
      <w:rFonts w:ascii="Arial" w:hAnsi="Arial"/>
      <w:sz w:val="20"/>
    </w:rPr>
    <w:tblPr>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Pr>
    <w:tblStylePr w:type="firstRow">
      <w:rPr>
        <w:rFonts w:ascii="Arial" w:hAnsi="Arial"/>
        <w:b/>
        <w:color w:val="FFFFFF" w:themeColor="background1"/>
        <w:sz w:val="20"/>
      </w:rPr>
      <w:tblPr/>
      <w:tcPr>
        <w:shd w:val="clear" w:color="auto" w:fill="003C7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60780">
      <w:bodyDiv w:val="1"/>
      <w:marLeft w:val="0"/>
      <w:marRight w:val="0"/>
      <w:marTop w:val="0"/>
      <w:marBottom w:val="0"/>
      <w:divBdr>
        <w:top w:val="none" w:sz="0" w:space="0" w:color="auto"/>
        <w:left w:val="none" w:sz="0" w:space="0" w:color="auto"/>
        <w:bottom w:val="none" w:sz="0" w:space="0" w:color="auto"/>
        <w:right w:val="none" w:sz="0" w:space="0" w:color="auto"/>
      </w:divBdr>
    </w:div>
    <w:div w:id="1954822639">
      <w:bodyDiv w:val="1"/>
      <w:marLeft w:val="0"/>
      <w:marRight w:val="0"/>
      <w:marTop w:val="0"/>
      <w:marBottom w:val="0"/>
      <w:divBdr>
        <w:top w:val="none" w:sz="0" w:space="0" w:color="auto"/>
        <w:left w:val="none" w:sz="0" w:space="0" w:color="auto"/>
        <w:bottom w:val="none" w:sz="0" w:space="0" w:color="auto"/>
        <w:right w:val="none" w:sz="0" w:space="0" w:color="auto"/>
      </w:divBdr>
    </w:div>
    <w:div w:id="207797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acroView\OAG%20Templates\Templates\Audit%20Report.dotx" TargetMode="External"/></Relationships>
</file>

<file path=word/theme/theme1.xml><?xml version="1.0" encoding="utf-8"?>
<a:theme xmlns:a="http://schemas.openxmlformats.org/drawingml/2006/main" name="Office Theme">
  <a:themeElements>
    <a:clrScheme name="OAG">
      <a:dk1>
        <a:sysClr val="windowText" lastClr="000000"/>
      </a:dk1>
      <a:lt1>
        <a:sysClr val="window" lastClr="FFFFFF"/>
      </a:lt1>
      <a:dk2>
        <a:srgbClr val="0099CC"/>
      </a:dk2>
      <a:lt2>
        <a:srgbClr val="0066FF"/>
      </a:lt2>
      <a:accent1>
        <a:srgbClr val="003C71"/>
      </a:accent1>
      <a:accent2>
        <a:srgbClr val="54585A"/>
      </a:accent2>
      <a:accent3>
        <a:srgbClr val="7BAFD4"/>
      </a:accent3>
      <a:accent4>
        <a:srgbClr val="001E38"/>
      </a:accent4>
      <a:accent5>
        <a:srgbClr val="969B9D"/>
      </a:accent5>
      <a:accent6>
        <a:srgbClr val="AFCFE5"/>
      </a:accent6>
      <a:hlink>
        <a:srgbClr val="0563C1"/>
      </a:hlink>
      <a:folHlink>
        <a:srgbClr val="954F72"/>
      </a:folHlink>
    </a:clrScheme>
    <a:fontScheme name="OA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r o o t   x m l n s = " h t t p : / / s c h e m a s . m a c r o v i e w . c o m . a u / w a _ o a g / r e p o r t " >  
     < R e p o r t T i t l e / >  
     < R e p o r t N u m b e r / >  
     < D a t e / >  
     < I S B N / >  
     < D r a f t C o n f i d e n t i a l > T h i s   S u m m a r y   o f   F i n d i n g s   i s   p r o v i d e d   f o r   t h e   s o l e   p u r p o s e   o f   t h e   r e c i p i e n t   p r o v i d i n g   s u b m i s s i o n s   o r   c o m m e n t s   t o   t h e   A u d i t o r   G e n e r a l .   T h e   r e c i p i e n t   m u s t   r e t a i n   c o n f i d e n t i a l i t y   i n   a c c o r d a n c e   w i t h   s e c t i o n   4 6 ( 4 )   o f   t h e   A u d i t o r   G e n e r a l   A c t   2 0 0 6   a n d   s h o u l d   n o t   c o m m u n i c a t e   i t s   c o n t e n t s   o r   c o p y   i t   f o r   a n y   o t h e r   p u r p o s e . < / D r a f t C o n f i d e n t i a l >  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D70D7E0B-3621-4067-B169-4A4C9ED7F84D}">
  <ds:schemaRefs>
    <ds:schemaRef ds:uri="http://schemas.macroview.com.au/wa_oag/report"/>
  </ds:schemaRefs>
</ds:datastoreItem>
</file>

<file path=customXml/itemProps2.xml><?xml version="1.0" encoding="utf-8"?>
<ds:datastoreItem xmlns:ds="http://schemas.openxmlformats.org/officeDocument/2006/customXml" ds:itemID="{E45B794A-CC38-4158-9367-D3830E40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Audit Report</Template>
  <TotalTime>1</TotalTime>
  <Pages>3</Pages>
  <Words>707</Words>
  <Characters>4033</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Executive summary</vt:lpstr>
      <vt:lpstr>    Background</vt:lpstr>
      <vt:lpstr>    Conclusion</vt:lpstr>
      <vt:lpstr>    Key findings</vt:lpstr>
      <vt:lpstr>    Recommendations</vt:lpstr>
      <vt:lpstr>Audit focus and scope</vt:lpstr>
      <vt:lpstr>Audit findings</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Virginia</dc:creator>
  <cp:keywords/>
  <dc:description/>
  <cp:lastModifiedBy>Maria Virginia</cp:lastModifiedBy>
  <cp:revision>3</cp:revision>
  <cp:lastPrinted>2015-02-03T03:14:00Z</cp:lastPrinted>
  <dcterms:created xsi:type="dcterms:W3CDTF">2021-06-11T04:30:00Z</dcterms:created>
  <dcterms:modified xsi:type="dcterms:W3CDTF">2021-06-11T04:32:00Z</dcterms:modified>
  <cp:version>20.05.2019</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Audit Report</vt:lpwstr>
  </property>
  <property fmtid="{D5CDD505-2E9C-101B-9397-08002B2CF9AE}" pid="3" name="Status">
    <vt:lpwstr>draft</vt:lpwstr>
  </property>
  <property fmtid="{D5CDD505-2E9C-101B-9397-08002B2CF9AE}" pid="4" name="Version">
    <vt:lpwstr>1.6.9.0</vt:lpwstr>
  </property>
</Properties>
</file>