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6B" w:rsidRPr="00C7506B" w:rsidRDefault="00C7506B" w:rsidP="008B629E">
      <w:pPr>
        <w:spacing w:after="600"/>
        <w:jc w:val="center"/>
        <w:rPr>
          <w:b/>
          <w:color w:val="003C71" w:themeColor="accent1"/>
          <w:sz w:val="32"/>
          <w:szCs w:val="32"/>
        </w:rPr>
      </w:pPr>
      <w:r w:rsidRPr="00C7506B">
        <w:rPr>
          <w:b/>
          <w:color w:val="003C71" w:themeColor="accent1"/>
          <w:sz w:val="32"/>
          <w:szCs w:val="32"/>
        </w:rPr>
        <w:t xml:space="preserve">Financial Reporting and Controls — </w:t>
      </w:r>
      <w:r w:rsidR="008B629E">
        <w:rPr>
          <w:b/>
          <w:color w:val="003C71" w:themeColor="accent1"/>
          <w:sz w:val="32"/>
          <w:szCs w:val="32"/>
        </w:rPr>
        <w:br/>
      </w:r>
      <w:r w:rsidRPr="00C7506B">
        <w:rPr>
          <w:b/>
          <w:color w:val="003C71" w:themeColor="accent1"/>
          <w:sz w:val="32"/>
          <w:szCs w:val="32"/>
        </w:rPr>
        <w:t xml:space="preserve">Best Practice Criteria </w:t>
      </w:r>
      <w:r w:rsidR="004E0FB7">
        <w:rPr>
          <w:b/>
          <w:color w:val="003C71" w:themeColor="accent1"/>
          <w:sz w:val="32"/>
          <w:szCs w:val="32"/>
        </w:rPr>
        <w:t>year e</w:t>
      </w:r>
      <w:r w:rsidRPr="00C7506B">
        <w:rPr>
          <w:b/>
          <w:color w:val="003C71" w:themeColor="accent1"/>
          <w:sz w:val="32"/>
          <w:szCs w:val="32"/>
        </w:rPr>
        <w:t>nding June 201</w:t>
      </w:r>
      <w:r w:rsidR="004E0FB7">
        <w:rPr>
          <w:b/>
          <w:color w:val="003C71" w:themeColor="accent1"/>
          <w:sz w:val="32"/>
          <w:szCs w:val="32"/>
        </w:rPr>
        <w:t>7</w:t>
      </w:r>
    </w:p>
    <w:p w:rsidR="00C7506B" w:rsidRDefault="00C7506B" w:rsidP="00C7506B">
      <w:pPr>
        <w:spacing w:after="170"/>
      </w:pPr>
      <w:r w:rsidRPr="00D7031D">
        <w:t xml:space="preserve">For </w:t>
      </w:r>
      <w:r w:rsidR="005A1760">
        <w:t xml:space="preserve">the year </w:t>
      </w:r>
      <w:r>
        <w:t xml:space="preserve">ending 30 June </w:t>
      </w:r>
      <w:r w:rsidRPr="00D7031D">
        <w:t>201</w:t>
      </w:r>
      <w:r w:rsidR="005A1760">
        <w:t>7</w:t>
      </w:r>
      <w:r w:rsidRPr="00D7031D">
        <w:t xml:space="preserve">, the </w:t>
      </w:r>
      <w:r>
        <w:t xml:space="preserve">Office of the Auditor General’s Best Practice </w:t>
      </w:r>
      <w:r w:rsidR="0021430A">
        <w:t>C</w:t>
      </w:r>
      <w:r w:rsidRPr="00D7031D">
        <w:t xml:space="preserve">riteria </w:t>
      </w:r>
      <w:proofErr w:type="gramStart"/>
      <w:r>
        <w:t>are</w:t>
      </w:r>
      <w:proofErr w:type="gramEnd"/>
      <w:r>
        <w:t xml:space="preserve"> </w:t>
      </w:r>
      <w:r w:rsidR="00612AED">
        <w:t>similar to previous years</w:t>
      </w:r>
      <w:r>
        <w:t>, as shown below.</w:t>
      </w:r>
      <w:r w:rsidRPr="00D7031D">
        <w:t xml:space="preserve">  </w:t>
      </w:r>
    </w:p>
    <w:p w:rsidR="00C7506B" w:rsidRDefault="00C7506B" w:rsidP="00C7506B">
      <w:pPr>
        <w:spacing w:after="170"/>
      </w:pPr>
      <w:r w:rsidRPr="00D7031D">
        <w:t>We will report a Best Practice Top 20 for large agencies (total expenditure over $</w:t>
      </w:r>
      <w:r w:rsidRPr="00BE4E9F">
        <w:t>4</w:t>
      </w:r>
      <w:r>
        <w:t>1</w:t>
      </w:r>
      <w:r w:rsidRPr="00BE4E9F">
        <w:t xml:space="preserve"> million</w:t>
      </w:r>
      <w:r w:rsidRPr="00D7031D">
        <w:t xml:space="preserve">) and a Best Practice Top 20 for smaller agencies (total expenditure below </w:t>
      </w:r>
      <w:r w:rsidRPr="00BE4E9F">
        <w:t>$4</w:t>
      </w:r>
      <w:r>
        <w:t>1</w:t>
      </w:r>
      <w:r w:rsidRPr="00BE4E9F">
        <w:t xml:space="preserve"> million</w:t>
      </w:r>
      <w:r w:rsidRPr="00D7031D">
        <w:t>).</w:t>
      </w:r>
    </w:p>
    <w:p w:rsidR="00C7506B" w:rsidRDefault="00C7506B" w:rsidP="00C7506B"/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3588"/>
        <w:gridCol w:w="5528"/>
      </w:tblGrid>
      <w:tr w:rsidR="00C7506B" w:rsidRPr="005F2940" w:rsidTr="003C4ADB">
        <w:trPr>
          <w:trHeight w:val="330"/>
        </w:trPr>
        <w:tc>
          <w:tcPr>
            <w:tcW w:w="3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71" w:themeFill="accent1"/>
            <w:noWrap/>
            <w:vAlign w:val="center"/>
            <w:hideMark/>
          </w:tcPr>
          <w:p w:rsidR="00C7506B" w:rsidRPr="00C7506B" w:rsidRDefault="003C4ADB" w:rsidP="0021430A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>Criteria for</w:t>
            </w:r>
            <w:r w:rsidR="00C7506B" w:rsidRPr="00C7506B"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 xml:space="preserve"> 201</w:t>
            </w:r>
            <w:r w:rsidR="005A1760"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>7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C71" w:themeFill="accent1"/>
            <w:noWrap/>
            <w:vAlign w:val="center"/>
            <w:hideMark/>
          </w:tcPr>
          <w:p w:rsidR="00C7506B" w:rsidRPr="00C7506B" w:rsidRDefault="00C7506B" w:rsidP="004E0FB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</w:pPr>
            <w:r w:rsidRPr="00C7506B"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>Description of Bes</w:t>
            </w:r>
            <w:r w:rsidR="00516319"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>t Practice c</w:t>
            </w:r>
            <w:r w:rsidRPr="00C7506B">
              <w:rPr>
                <w:rFonts w:eastAsia="Times New Roman" w:cs="Arial"/>
                <w:b/>
                <w:bCs/>
                <w:color w:val="FFFFFF" w:themeColor="background1"/>
                <w:lang w:eastAsia="en-AU"/>
              </w:rPr>
              <w:t>riteria</w:t>
            </w:r>
          </w:p>
        </w:tc>
      </w:tr>
      <w:tr w:rsidR="00C7506B" w:rsidRPr="005F2940" w:rsidTr="003C4ADB">
        <w:trPr>
          <w:trHeight w:val="1050"/>
        </w:trPr>
        <w:tc>
          <w:tcPr>
            <w:tcW w:w="35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1.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Timeliness  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spacing w:before="120" w:after="120"/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Financial statements and all key audit supporting evidence were provided by the agreed dates and by 5 August.  Maximum points a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 xml:space="preserve">warded if provided by 16 July. </w:t>
            </w: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Zero if after 5 August.</w:t>
            </w:r>
          </w:p>
        </w:tc>
      </w:tr>
      <w:tr w:rsidR="00C7506B" w:rsidRPr="005F2940" w:rsidTr="00C7506B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2.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Quality of financial s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tatements, </w:t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KPIs and n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otes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First set of financial statements, KPIs and notes provided for audit required only minimal adjustments during the audit.</w:t>
            </w:r>
          </w:p>
        </w:tc>
      </w:tr>
      <w:tr w:rsidR="00C7506B" w:rsidRPr="005F2940" w:rsidTr="00C7506B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3.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Quality of working p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apers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 xml:space="preserve">Full supporting working papers provided in a timely manner. Evidence easy to locate and use for audit. </w:t>
            </w:r>
          </w:p>
        </w:tc>
      </w:tr>
      <w:tr w:rsidR="00C7506B" w:rsidRPr="005F2940" w:rsidTr="00C7506B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4.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Resolution of accounting standards / presentation i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ssues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Management resolved all accounting standards and presentation issues in a timely manner.</w:t>
            </w:r>
          </w:p>
        </w:tc>
      </w:tr>
      <w:tr w:rsidR="00C7506B" w:rsidRPr="005F2940" w:rsidTr="00C7506B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5.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Key s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taff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Key staff readily available and cooperative during the audit and did not contribute to any delays in finalising the audit.</w:t>
            </w:r>
          </w:p>
        </w:tc>
      </w:tr>
      <w:tr w:rsidR="00C7506B" w:rsidRPr="005F2940" w:rsidTr="00C7506B">
        <w:trPr>
          <w:trHeight w:val="105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D0DD4" w:rsidP="00CD0DD4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6.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Number and significance of controls / Management Letter issues i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dentified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C7506B" w:rsidP="004E0FB7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Low number and significance of issues.</w:t>
            </w:r>
          </w:p>
        </w:tc>
      </w:tr>
      <w:tr w:rsidR="00C7506B" w:rsidRPr="005F2940" w:rsidTr="005A1760">
        <w:trPr>
          <w:trHeight w:val="78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6B" w:rsidRPr="00C7506B" w:rsidRDefault="008B629E" w:rsidP="008B629E">
            <w:pPr>
              <w:ind w:left="361" w:hanging="361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7.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ab/>
            </w:r>
            <w:r w:rsidR="00D00AAA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Clear audit o</w:t>
            </w:r>
            <w:r w:rsidR="00C7506B" w:rsidRPr="00C7506B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pinion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6B" w:rsidRPr="00C7506B" w:rsidRDefault="00C7506B" w:rsidP="005A1760">
            <w:pPr>
              <w:jc w:val="lef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7506B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bookmarkStart w:id="0" w:name="_GoBack"/>
        <w:bookmarkEnd w:id="0"/>
      </w:tr>
    </w:tbl>
    <w:p w:rsidR="00C7506B" w:rsidRDefault="00C7506B" w:rsidP="00C7506B">
      <w:pPr>
        <w:pStyle w:val="ListParagraph"/>
        <w:tabs>
          <w:tab w:val="left" w:pos="2694"/>
        </w:tabs>
        <w:spacing w:after="120" w:line="360" w:lineRule="auto"/>
      </w:pPr>
    </w:p>
    <w:p w:rsidR="00C7506B" w:rsidRDefault="00C7506B" w:rsidP="00C7506B"/>
    <w:p w:rsidR="00174FFF" w:rsidRPr="003B7E1B" w:rsidRDefault="00174FFF" w:rsidP="003B7E1B"/>
    <w:sectPr w:rsidR="00174FFF" w:rsidRPr="003B7E1B" w:rsidSect="008B629E">
      <w:headerReference w:type="default" r:id="rId7"/>
      <w:pgSz w:w="11906" w:h="16838" w:code="9"/>
      <w:pgMar w:top="1440" w:right="1225" w:bottom="144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B7" w:rsidRDefault="004E0FB7" w:rsidP="008B629E">
      <w:r>
        <w:separator/>
      </w:r>
    </w:p>
  </w:endnote>
  <w:endnote w:type="continuationSeparator" w:id="0">
    <w:p w:rsidR="004E0FB7" w:rsidRDefault="004E0FB7" w:rsidP="008B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B7" w:rsidRDefault="004E0FB7" w:rsidP="008B629E">
      <w:r>
        <w:separator/>
      </w:r>
    </w:p>
  </w:footnote>
  <w:footnote w:type="continuationSeparator" w:id="0">
    <w:p w:rsidR="004E0FB7" w:rsidRDefault="004E0FB7" w:rsidP="008B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B7" w:rsidRDefault="004E0F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4784725</wp:posOffset>
          </wp:positionH>
          <wp:positionV relativeFrom="margin">
            <wp:posOffset>-731520</wp:posOffset>
          </wp:positionV>
          <wp:extent cx="989010" cy="5791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G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D"/>
    <w:rsid w:val="000213B6"/>
    <w:rsid w:val="00174FFF"/>
    <w:rsid w:val="0021430A"/>
    <w:rsid w:val="003B7E1B"/>
    <w:rsid w:val="003C4ADB"/>
    <w:rsid w:val="0043112C"/>
    <w:rsid w:val="00481E5D"/>
    <w:rsid w:val="004E0FB7"/>
    <w:rsid w:val="00516319"/>
    <w:rsid w:val="00534A88"/>
    <w:rsid w:val="0059347C"/>
    <w:rsid w:val="005A1760"/>
    <w:rsid w:val="00600081"/>
    <w:rsid w:val="00600A6D"/>
    <w:rsid w:val="00612AED"/>
    <w:rsid w:val="0066536F"/>
    <w:rsid w:val="00792EF6"/>
    <w:rsid w:val="00813B97"/>
    <w:rsid w:val="008B629E"/>
    <w:rsid w:val="00991E7B"/>
    <w:rsid w:val="00BE2DB1"/>
    <w:rsid w:val="00BF09B8"/>
    <w:rsid w:val="00C7506B"/>
    <w:rsid w:val="00CD0DD4"/>
    <w:rsid w:val="00D00AAA"/>
    <w:rsid w:val="00E4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06C371-E0C4-4CF8-AC42-6A19D31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6B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6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67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A2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B97"/>
    <w:rPr>
      <w:rFonts w:asciiTheme="majorHAnsi" w:eastAsiaTheme="majorEastAsia" w:hAnsiTheme="majorHAnsi" w:cstheme="majorBidi"/>
      <w:b/>
      <w:bCs/>
      <w:color w:val="00467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3B97"/>
    <w:rPr>
      <w:rFonts w:asciiTheme="majorHAnsi" w:eastAsiaTheme="majorEastAsia" w:hAnsiTheme="majorHAnsi" w:cstheme="majorBidi"/>
      <w:b/>
      <w:bCs/>
      <w:color w:val="00467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6FBA"/>
    <w:rPr>
      <w:rFonts w:asciiTheme="majorHAnsi" w:eastAsiaTheme="majorEastAsia" w:hAnsiTheme="majorHAnsi" w:cstheme="majorBidi"/>
      <w:b/>
      <w:bCs/>
      <w:color w:val="7FA2B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2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29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2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29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dit W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C71"/>
      </a:accent1>
      <a:accent2>
        <a:srgbClr val="54585A"/>
      </a:accent2>
      <a:accent3>
        <a:srgbClr val="7BAFD4"/>
      </a:accent3>
      <a:accent4>
        <a:srgbClr val="001E38"/>
      </a:accent4>
      <a:accent5>
        <a:srgbClr val="969B9D"/>
      </a:accent5>
      <a:accent6>
        <a:srgbClr val="AFCFE5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E0CE-F6EF-448D-8874-B1F3204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Auditor General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Merdzan</dc:creator>
  <cp:keywords/>
  <dc:description/>
  <cp:lastModifiedBy>Dana Merdzan</cp:lastModifiedBy>
  <cp:revision>3</cp:revision>
  <dcterms:created xsi:type="dcterms:W3CDTF">2017-01-31T00:25:00Z</dcterms:created>
  <dcterms:modified xsi:type="dcterms:W3CDTF">2017-01-31T00:41:00Z</dcterms:modified>
</cp:coreProperties>
</file>